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0" w:lineRule="atLeast"/>
        <w:rPr>
          <w:rFonts w:hint="eastAsia" w:eastAsia="黑体"/>
          <w:bCs/>
          <w:color w:val="auto"/>
          <w:sz w:val="48"/>
          <w:szCs w:val="48"/>
          <w:highlight w:val="none"/>
        </w:rPr>
      </w:pPr>
      <w:bookmarkStart w:id="91" w:name="_GoBack"/>
      <w:bookmarkEnd w:id="91"/>
    </w:p>
    <w:p>
      <w:pPr>
        <w:adjustRightInd w:val="0"/>
        <w:snapToGrid w:val="0"/>
        <w:spacing w:line="0" w:lineRule="atLeast"/>
        <w:rPr>
          <w:rFonts w:hint="eastAsia" w:eastAsia="黑体"/>
          <w:bCs/>
          <w:color w:val="auto"/>
          <w:sz w:val="48"/>
          <w:szCs w:val="48"/>
          <w:highlight w:val="none"/>
        </w:rPr>
      </w:pPr>
    </w:p>
    <w:p>
      <w:pPr>
        <w:adjustRightInd w:val="0"/>
        <w:snapToGrid w:val="0"/>
        <w:spacing w:line="0" w:lineRule="atLeast"/>
        <w:rPr>
          <w:rFonts w:hint="eastAsia" w:eastAsia="黑体"/>
          <w:bCs/>
          <w:color w:val="auto"/>
          <w:sz w:val="48"/>
          <w:szCs w:val="48"/>
          <w:highlight w:val="none"/>
        </w:rPr>
      </w:pPr>
    </w:p>
    <w:p>
      <w:pPr>
        <w:adjustRightInd w:val="0"/>
        <w:snapToGrid w:val="0"/>
        <w:spacing w:line="0" w:lineRule="atLeast"/>
        <w:rPr>
          <w:rFonts w:eastAsia="黑体"/>
          <w:bCs/>
          <w:color w:val="auto"/>
          <w:sz w:val="48"/>
          <w:szCs w:val="48"/>
          <w:highlight w:val="none"/>
        </w:rPr>
      </w:pPr>
    </w:p>
    <w:p>
      <w:pPr>
        <w:pStyle w:val="71"/>
        <w:spacing w:line="800" w:lineRule="atLeast"/>
        <w:outlineLvl w:val="0"/>
        <w:rPr>
          <w:rFonts w:hint="default" w:eastAsia="黑体"/>
          <w:b/>
          <w:color w:val="auto"/>
          <w:sz w:val="48"/>
          <w:szCs w:val="48"/>
          <w:highlight w:val="none"/>
          <w:lang w:val="en-US" w:eastAsia="zh-CN"/>
        </w:rPr>
      </w:pPr>
      <w:bookmarkStart w:id="0" w:name="_Toc14665"/>
      <w:bookmarkStart w:id="1" w:name="_Toc75853929"/>
      <w:bookmarkStart w:id="2" w:name="_Toc31629"/>
      <w:bookmarkStart w:id="3" w:name="_Toc16686"/>
      <w:r>
        <w:rPr>
          <w:rFonts w:hint="eastAsia" w:cs="Times New Roman"/>
          <w:color w:val="auto"/>
          <w:sz w:val="48"/>
          <w:szCs w:val="48"/>
          <w:highlight w:val="none"/>
          <w:lang w:val="en-US" w:eastAsia="zh-CN"/>
        </w:rPr>
        <w:t>丰顺县建桥镇</w:t>
      </w:r>
      <w:r>
        <w:rPr>
          <w:rFonts w:hint="eastAsia"/>
          <w:color w:val="auto"/>
          <w:sz w:val="48"/>
          <w:szCs w:val="48"/>
          <w:highlight w:val="none"/>
          <w:lang w:val="en-US" w:eastAsia="zh-CN"/>
        </w:rPr>
        <w:t>洋坑水库除险加固工程</w:t>
      </w:r>
      <w:bookmarkEnd w:id="0"/>
      <w:bookmarkEnd w:id="1"/>
      <w:bookmarkEnd w:id="2"/>
      <w:bookmarkEnd w:id="3"/>
    </w:p>
    <w:p>
      <w:pPr>
        <w:spacing w:before="120" w:beforeLines="50" w:after="120" w:afterLines="50" w:line="0" w:lineRule="atLeast"/>
        <w:ind w:left="0" w:leftChars="0" w:firstLine="0" w:firstLineChars="0"/>
        <w:jc w:val="center"/>
        <w:rPr>
          <w:rFonts w:hint="eastAsia" w:ascii="Times New Roman" w:hAnsi="Times New Roman" w:eastAsia="黑体" w:cs="Times New Roman"/>
          <w:color w:val="auto"/>
          <w:kern w:val="2"/>
          <w:sz w:val="48"/>
          <w:szCs w:val="48"/>
          <w:highlight w:val="none"/>
          <w:lang w:val="en-US" w:eastAsia="zh-CN" w:bidi="ar-SA"/>
        </w:rPr>
      </w:pPr>
      <w:r>
        <w:rPr>
          <w:rFonts w:hint="eastAsia" w:ascii="Times New Roman" w:hAnsi="Times New Roman" w:eastAsia="黑体" w:cs="Times New Roman"/>
          <w:color w:val="auto"/>
          <w:kern w:val="2"/>
          <w:sz w:val="48"/>
          <w:szCs w:val="48"/>
          <w:highlight w:val="none"/>
          <w:lang w:val="en-US" w:eastAsia="zh-CN" w:bidi="ar-SA"/>
        </w:rPr>
        <w:t>初步设计报告</w:t>
      </w:r>
    </w:p>
    <w:p>
      <w:pPr>
        <w:adjustRightInd w:val="0"/>
        <w:snapToGrid w:val="0"/>
        <w:spacing w:line="0" w:lineRule="atLeast"/>
        <w:rPr>
          <w:rFonts w:eastAsia="黑体"/>
          <w:b/>
          <w:bCs/>
          <w:snapToGrid w:val="0"/>
          <w:color w:val="auto"/>
          <w:kern w:val="0"/>
          <w:sz w:val="48"/>
          <w:szCs w:val="48"/>
          <w:highlight w:val="none"/>
        </w:rPr>
      </w:pPr>
    </w:p>
    <w:p>
      <w:pPr>
        <w:pStyle w:val="2"/>
        <w:rPr>
          <w:rFonts w:eastAsia="黑体"/>
          <w:b/>
          <w:bCs/>
          <w:snapToGrid w:val="0"/>
          <w:color w:val="auto"/>
          <w:kern w:val="0"/>
          <w:sz w:val="48"/>
          <w:szCs w:val="48"/>
          <w:highlight w:val="none"/>
        </w:rPr>
      </w:pPr>
    </w:p>
    <w:p>
      <w:pPr>
        <w:pStyle w:val="17"/>
        <w:rPr>
          <w:color w:val="auto"/>
          <w:highlight w:val="none"/>
        </w:rPr>
      </w:pPr>
    </w:p>
    <w:p>
      <w:pPr>
        <w:spacing w:line="560" w:lineRule="atLeast"/>
        <w:ind w:left="0" w:leftChars="0" w:firstLine="0" w:firstLineChars="0"/>
        <w:jc w:val="center"/>
        <w:rPr>
          <w:rFonts w:hint="default" w:eastAsia="黑体"/>
          <w:color w:val="auto"/>
          <w:sz w:val="36"/>
          <w:szCs w:val="36"/>
          <w:highlight w:val="none"/>
          <w:lang w:val="en-US" w:eastAsia="zh-CN"/>
        </w:rPr>
      </w:pPr>
      <w:r>
        <w:rPr>
          <w:rFonts w:hint="eastAsia" w:eastAsia="黑体"/>
          <w:b/>
          <w:bCs/>
          <w:color w:val="auto"/>
          <w:sz w:val="36"/>
          <w:szCs w:val="36"/>
          <w:highlight w:val="none"/>
          <w:lang w:val="en-US" w:eastAsia="zh-CN"/>
        </w:rPr>
        <w:t>1</w:t>
      </w:r>
      <w:r>
        <w:rPr>
          <w:rFonts w:eastAsia="黑体"/>
          <w:bCs/>
          <w:color w:val="auto"/>
          <w:sz w:val="36"/>
          <w:szCs w:val="36"/>
          <w:highlight w:val="none"/>
        </w:rPr>
        <w:t xml:space="preserve">  </w:t>
      </w:r>
      <w:r>
        <w:rPr>
          <w:rFonts w:hint="eastAsia" w:eastAsia="黑体"/>
          <w:bCs/>
          <w:color w:val="auto"/>
          <w:sz w:val="36"/>
          <w:szCs w:val="36"/>
          <w:highlight w:val="none"/>
          <w:lang w:val="en-US" w:eastAsia="zh-CN"/>
        </w:rPr>
        <w:t>综合说明</w:t>
      </w:r>
    </w:p>
    <w:p>
      <w:pPr>
        <w:spacing w:line="600" w:lineRule="atLeast"/>
        <w:jc w:val="center"/>
        <w:rPr>
          <w:color w:val="auto"/>
          <w:sz w:val="28"/>
          <w:szCs w:val="28"/>
          <w:highlight w:val="none"/>
        </w:rPr>
      </w:pPr>
    </w:p>
    <w:p>
      <w:pPr>
        <w:spacing w:line="600" w:lineRule="atLeast"/>
        <w:jc w:val="center"/>
        <w:rPr>
          <w:color w:val="auto"/>
          <w:sz w:val="28"/>
          <w:szCs w:val="28"/>
          <w:highlight w:val="none"/>
        </w:rPr>
      </w:pPr>
    </w:p>
    <w:p>
      <w:pPr>
        <w:spacing w:line="600" w:lineRule="atLeast"/>
        <w:ind w:left="3360" w:leftChars="1400" w:firstLine="1120" w:firstLineChars="400"/>
        <w:rPr>
          <w:color w:val="auto"/>
          <w:sz w:val="28"/>
          <w:szCs w:val="28"/>
          <w:highlight w:val="none"/>
        </w:rPr>
      </w:pPr>
    </w:p>
    <w:p>
      <w:pPr>
        <w:spacing w:line="500" w:lineRule="atLeast"/>
        <w:jc w:val="center"/>
        <w:rPr>
          <w:color w:val="auto"/>
          <w:sz w:val="24"/>
          <w:highlight w:val="none"/>
        </w:rPr>
      </w:pPr>
    </w:p>
    <w:p>
      <w:pPr>
        <w:spacing w:line="500" w:lineRule="atLeast"/>
        <w:jc w:val="center"/>
        <w:rPr>
          <w:color w:val="auto"/>
          <w:sz w:val="24"/>
          <w:highlight w:val="none"/>
        </w:rPr>
      </w:pPr>
    </w:p>
    <w:p>
      <w:pPr>
        <w:spacing w:line="500" w:lineRule="atLeast"/>
        <w:jc w:val="center"/>
        <w:rPr>
          <w:color w:val="auto"/>
          <w:highlight w:val="none"/>
        </w:rPr>
      </w:pPr>
    </w:p>
    <w:p>
      <w:pPr>
        <w:spacing w:line="500" w:lineRule="atLeast"/>
        <w:jc w:val="center"/>
        <w:rPr>
          <w:color w:val="auto"/>
          <w:highlight w:val="none"/>
        </w:rPr>
      </w:pPr>
    </w:p>
    <w:p>
      <w:pPr>
        <w:spacing w:line="500" w:lineRule="atLeast"/>
        <w:ind w:left="0" w:leftChars="0" w:firstLine="0" w:firstLineChars="0"/>
        <w:jc w:val="both"/>
        <w:rPr>
          <w:rFonts w:hint="eastAsia" w:ascii="黑体" w:eastAsia="黑体"/>
          <w:color w:val="auto"/>
          <w:sz w:val="36"/>
          <w:szCs w:val="36"/>
          <w:highlight w:val="none"/>
        </w:rPr>
        <w:sectPr>
          <w:headerReference r:id="rId5" w:type="default"/>
          <w:footerReference r:id="rId6" w:type="default"/>
          <w:pgSz w:w="11906" w:h="16838"/>
          <w:pgMar w:top="1440" w:right="1588" w:bottom="1440" w:left="1985" w:header="851" w:footer="992" w:gutter="0"/>
          <w:pgNumType w:fmt="decimal"/>
          <w:cols w:space="720" w:num="1"/>
          <w:docGrid w:linePitch="312" w:charSpace="0"/>
        </w:sectPr>
      </w:pPr>
    </w:p>
    <w:sdt>
      <w:sdtPr>
        <w:rPr>
          <w:rFonts w:ascii="宋体" w:hAnsi="宋体" w:eastAsia="宋体" w:cs="Times New Roman"/>
          <w:color w:val="auto"/>
          <w:kern w:val="2"/>
          <w:sz w:val="21"/>
          <w:szCs w:val="24"/>
          <w:highlight w:val="none"/>
          <w:lang w:val="en-US" w:eastAsia="zh-CN" w:bidi="ar-SA"/>
        </w:rPr>
        <w:id w:val="147463320"/>
        <w15:color w:val="DBDBDB"/>
        <w:docPartObj>
          <w:docPartGallery w:val="Table of Contents"/>
          <w:docPartUnique/>
        </w:docPartObj>
      </w:sdtPr>
      <w:sdtEndPr>
        <w:rPr>
          <w:rFonts w:hint="default" w:ascii="Times New Roman" w:hAnsi="Times New Roman" w:eastAsia="宋体" w:cs="Times New Roman"/>
          <w:color w:val="auto"/>
          <w:kern w:val="2"/>
          <w:sz w:val="21"/>
          <w:szCs w:val="24"/>
          <w:highlight w:val="none"/>
          <w:lang w:val="en-US" w:eastAsia="zh-CN" w:bidi="ar-SA"/>
        </w:rPr>
      </w:sdtEndPr>
      <w:sdtContent>
        <w:p>
          <w:pPr>
            <w:spacing w:before="0" w:beforeLines="0" w:after="0" w:afterLines="0" w:line="240" w:lineRule="auto"/>
            <w:ind w:left="0" w:leftChars="0" w:right="0" w:rightChars="0" w:firstLine="0" w:firstLineChars="0"/>
            <w:jc w:val="center"/>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目</w:t>
          </w:r>
          <w:r>
            <w:rPr>
              <w:rFonts w:hint="eastAsia" w:ascii="黑体" w:hAnsi="黑体" w:eastAsia="黑体" w:cs="黑体"/>
              <w:color w:val="auto"/>
              <w:sz w:val="32"/>
              <w:szCs w:val="32"/>
              <w:highlight w:val="none"/>
              <w:lang w:val="en-US" w:eastAsia="zh-CN"/>
            </w:rPr>
            <w:t xml:space="preserve">  </w:t>
          </w:r>
          <w:r>
            <w:rPr>
              <w:rFonts w:hint="eastAsia" w:ascii="黑体" w:hAnsi="黑体" w:eastAsia="黑体" w:cs="黑体"/>
              <w:color w:val="auto"/>
              <w:sz w:val="32"/>
              <w:szCs w:val="32"/>
              <w:highlight w:val="none"/>
            </w:rPr>
            <w:t>录</w:t>
          </w:r>
        </w:p>
        <w:p>
          <w:pPr>
            <w:pStyle w:val="16"/>
            <w:tabs>
              <w:tab w:val="right" w:leader="dot" w:pos="8333"/>
            </w:tabs>
            <w:rPr>
              <w:color w:val="auto"/>
              <w:highlight w:val="none"/>
            </w:rPr>
          </w:pPr>
          <w:r>
            <w:rPr>
              <w:rFonts w:hint="default" w:ascii="Times New Roman" w:hAnsi="Times New Roman" w:eastAsia="宋体" w:cs="Times New Roman"/>
              <w:color w:val="auto"/>
              <w:sz w:val="28"/>
              <w:szCs w:val="28"/>
              <w:highlight w:val="none"/>
            </w:rPr>
            <w:fldChar w:fldCharType="begin"/>
          </w:r>
          <w:r>
            <w:rPr>
              <w:rFonts w:hint="default" w:ascii="Times New Roman" w:hAnsi="Times New Roman" w:eastAsia="宋体" w:cs="Times New Roman"/>
              <w:color w:val="auto"/>
              <w:sz w:val="28"/>
              <w:szCs w:val="28"/>
              <w:highlight w:val="none"/>
            </w:rPr>
            <w:instrText xml:space="preserve">TOC \o "1-2" \h \u </w:instrText>
          </w:r>
          <w:r>
            <w:rPr>
              <w:rFonts w:hint="default" w:ascii="Times New Roman" w:hAnsi="Times New Roman" w:eastAsia="宋体" w:cs="Times New Roman"/>
              <w:color w:val="auto"/>
              <w:sz w:val="28"/>
              <w:szCs w:val="28"/>
              <w:highlight w:val="none"/>
            </w:rPr>
            <w:fldChar w:fldCharType="separate"/>
          </w:r>
        </w:p>
        <w:p>
          <w:pPr>
            <w:pStyle w:val="19"/>
            <w:keepNext w:val="0"/>
            <w:keepLines w:val="0"/>
            <w:pageBreakBefore w:val="0"/>
            <w:widowControl w:val="0"/>
            <w:tabs>
              <w:tab w:val="right" w:leader="dot" w:pos="8333"/>
            </w:tabs>
            <w:kinsoku/>
            <w:wordWrap/>
            <w:overflowPunct/>
            <w:topLinePunct w:val="0"/>
            <w:autoSpaceDE/>
            <w:autoSpaceDN/>
            <w:bidi w:val="0"/>
            <w:adjustRightInd/>
            <w:snapToGrid/>
            <w:ind w:left="0" w:leftChars="0" w:firstLine="0" w:firstLineChars="0"/>
            <w:textAlignment w:val="auto"/>
            <w:rPr>
              <w:color w:val="auto"/>
              <w:sz w:val="28"/>
              <w:szCs w:val="28"/>
              <w:highlight w:val="none"/>
            </w:rPr>
          </w:pPr>
          <w:r>
            <w:rPr>
              <w:rFonts w:hint="default" w:ascii="Times New Roman" w:hAnsi="Times New Roman" w:eastAsia="宋体" w:cs="Times New Roman"/>
              <w:color w:val="auto"/>
              <w:sz w:val="28"/>
              <w:szCs w:val="28"/>
              <w:highlight w:val="none"/>
            </w:rPr>
            <w:fldChar w:fldCharType="begin"/>
          </w:r>
          <w:r>
            <w:rPr>
              <w:rFonts w:hint="default" w:ascii="Times New Roman" w:hAnsi="Times New Roman" w:eastAsia="宋体" w:cs="Times New Roman"/>
              <w:color w:val="auto"/>
              <w:sz w:val="28"/>
              <w:szCs w:val="28"/>
              <w:highlight w:val="none"/>
            </w:rPr>
            <w:instrText xml:space="preserve"> HYPERLINK \l _Toc532841028 </w:instrText>
          </w:r>
          <w:r>
            <w:rPr>
              <w:rFonts w:hint="default" w:ascii="Times New Roman" w:hAnsi="Times New Roman" w:eastAsia="宋体" w:cs="Times New Roman"/>
              <w:color w:val="auto"/>
              <w:sz w:val="28"/>
              <w:szCs w:val="28"/>
              <w:highlight w:val="none"/>
            </w:rPr>
            <w:fldChar w:fldCharType="separate"/>
          </w:r>
          <w:r>
            <w:rPr>
              <w:rFonts w:hint="eastAsia"/>
              <w:color w:val="auto"/>
              <w:sz w:val="28"/>
              <w:szCs w:val="28"/>
              <w:highlight w:val="none"/>
              <w:lang w:val="en-US" w:eastAsia="zh-CN"/>
            </w:rPr>
            <w:t>1.1绪言</w:t>
          </w:r>
          <w:r>
            <w:rPr>
              <w:color w:val="auto"/>
              <w:sz w:val="28"/>
              <w:szCs w:val="28"/>
              <w:highlight w:val="none"/>
            </w:rPr>
            <w:tab/>
          </w:r>
          <w:r>
            <w:rPr>
              <w:rFonts w:hint="eastAsia"/>
              <w:color w:val="auto"/>
              <w:sz w:val="28"/>
              <w:szCs w:val="28"/>
              <w:highlight w:val="none"/>
              <w:lang w:val="en-US" w:eastAsia="zh-CN"/>
            </w:rPr>
            <w:t>1-</w:t>
          </w:r>
          <w:r>
            <w:rPr>
              <w:color w:val="auto"/>
              <w:sz w:val="28"/>
              <w:szCs w:val="28"/>
              <w:highlight w:val="none"/>
            </w:rPr>
            <w:fldChar w:fldCharType="begin"/>
          </w:r>
          <w:r>
            <w:rPr>
              <w:color w:val="auto"/>
              <w:sz w:val="28"/>
              <w:szCs w:val="28"/>
              <w:highlight w:val="none"/>
            </w:rPr>
            <w:instrText xml:space="preserve"> PAGEREF _Toc532841028 </w:instrText>
          </w:r>
          <w:r>
            <w:rPr>
              <w:color w:val="auto"/>
              <w:sz w:val="28"/>
              <w:szCs w:val="28"/>
              <w:highlight w:val="none"/>
            </w:rPr>
            <w:fldChar w:fldCharType="separate"/>
          </w:r>
          <w:r>
            <w:rPr>
              <w:color w:val="auto"/>
              <w:sz w:val="28"/>
              <w:szCs w:val="28"/>
              <w:highlight w:val="none"/>
            </w:rPr>
            <w:t>1</w:t>
          </w:r>
          <w:r>
            <w:rPr>
              <w:color w:val="auto"/>
              <w:sz w:val="28"/>
              <w:szCs w:val="28"/>
              <w:highlight w:val="none"/>
            </w:rPr>
            <w:fldChar w:fldCharType="end"/>
          </w:r>
          <w:r>
            <w:rPr>
              <w:rFonts w:hint="default" w:ascii="Times New Roman" w:hAnsi="Times New Roman" w:eastAsia="宋体" w:cs="Times New Roman"/>
              <w:color w:val="auto"/>
              <w:sz w:val="28"/>
              <w:szCs w:val="28"/>
              <w:highlight w:val="none"/>
            </w:rPr>
            <w:fldChar w:fldCharType="end"/>
          </w:r>
        </w:p>
        <w:p>
          <w:pPr>
            <w:pStyle w:val="19"/>
            <w:keepNext w:val="0"/>
            <w:keepLines w:val="0"/>
            <w:pageBreakBefore w:val="0"/>
            <w:widowControl w:val="0"/>
            <w:tabs>
              <w:tab w:val="right" w:leader="dot" w:pos="8333"/>
            </w:tabs>
            <w:kinsoku/>
            <w:wordWrap/>
            <w:overflowPunct/>
            <w:topLinePunct w:val="0"/>
            <w:autoSpaceDE/>
            <w:autoSpaceDN/>
            <w:bidi w:val="0"/>
            <w:adjustRightInd/>
            <w:snapToGrid/>
            <w:ind w:left="0" w:leftChars="0" w:firstLine="0" w:firstLineChars="0"/>
            <w:textAlignment w:val="auto"/>
            <w:rPr>
              <w:color w:val="auto"/>
              <w:sz w:val="28"/>
              <w:szCs w:val="28"/>
              <w:highlight w:val="none"/>
            </w:rPr>
          </w:pPr>
          <w:r>
            <w:rPr>
              <w:rFonts w:hint="default" w:ascii="Times New Roman" w:hAnsi="Times New Roman" w:eastAsia="宋体" w:cs="Times New Roman"/>
              <w:color w:val="auto"/>
              <w:sz w:val="28"/>
              <w:szCs w:val="28"/>
              <w:highlight w:val="none"/>
            </w:rPr>
            <w:fldChar w:fldCharType="begin"/>
          </w:r>
          <w:r>
            <w:rPr>
              <w:rFonts w:hint="default" w:ascii="Times New Roman" w:hAnsi="Times New Roman" w:eastAsia="宋体" w:cs="Times New Roman"/>
              <w:color w:val="auto"/>
              <w:sz w:val="28"/>
              <w:szCs w:val="28"/>
              <w:highlight w:val="none"/>
            </w:rPr>
            <w:instrText xml:space="preserve"> HYPERLINK \l _Toc754446645 </w:instrText>
          </w:r>
          <w:r>
            <w:rPr>
              <w:rFonts w:hint="default" w:ascii="Times New Roman" w:hAnsi="Times New Roman" w:eastAsia="宋体" w:cs="Times New Roman"/>
              <w:color w:val="auto"/>
              <w:sz w:val="28"/>
              <w:szCs w:val="28"/>
              <w:highlight w:val="none"/>
            </w:rPr>
            <w:fldChar w:fldCharType="separate"/>
          </w:r>
          <w:r>
            <w:rPr>
              <w:rFonts w:hint="eastAsia"/>
              <w:color w:val="auto"/>
              <w:sz w:val="28"/>
              <w:szCs w:val="28"/>
              <w:highlight w:val="none"/>
              <w:lang w:val="en-US" w:eastAsia="zh-CN"/>
            </w:rPr>
            <w:t>1.2水文</w:t>
          </w:r>
          <w:r>
            <w:rPr>
              <w:color w:val="auto"/>
              <w:sz w:val="28"/>
              <w:szCs w:val="28"/>
              <w:highlight w:val="none"/>
            </w:rPr>
            <w:tab/>
          </w:r>
          <w:r>
            <w:rPr>
              <w:rFonts w:hint="eastAsia"/>
              <w:color w:val="auto"/>
              <w:sz w:val="28"/>
              <w:szCs w:val="28"/>
              <w:highlight w:val="none"/>
              <w:lang w:val="en-US" w:eastAsia="zh-CN"/>
            </w:rPr>
            <w:t>1-</w:t>
          </w:r>
          <w:r>
            <w:rPr>
              <w:color w:val="auto"/>
              <w:sz w:val="28"/>
              <w:szCs w:val="28"/>
              <w:highlight w:val="none"/>
            </w:rPr>
            <w:fldChar w:fldCharType="begin"/>
          </w:r>
          <w:r>
            <w:rPr>
              <w:color w:val="auto"/>
              <w:sz w:val="28"/>
              <w:szCs w:val="28"/>
              <w:highlight w:val="none"/>
            </w:rPr>
            <w:instrText xml:space="preserve"> PAGEREF _Toc754446645 </w:instrText>
          </w:r>
          <w:r>
            <w:rPr>
              <w:color w:val="auto"/>
              <w:sz w:val="28"/>
              <w:szCs w:val="28"/>
              <w:highlight w:val="none"/>
            </w:rPr>
            <w:fldChar w:fldCharType="separate"/>
          </w:r>
          <w:r>
            <w:rPr>
              <w:color w:val="auto"/>
              <w:sz w:val="28"/>
              <w:szCs w:val="28"/>
              <w:highlight w:val="none"/>
            </w:rPr>
            <w:t>4</w:t>
          </w:r>
          <w:r>
            <w:rPr>
              <w:color w:val="auto"/>
              <w:sz w:val="28"/>
              <w:szCs w:val="28"/>
              <w:highlight w:val="none"/>
            </w:rPr>
            <w:fldChar w:fldCharType="end"/>
          </w:r>
          <w:r>
            <w:rPr>
              <w:rFonts w:hint="default" w:ascii="Times New Roman" w:hAnsi="Times New Roman" w:eastAsia="宋体" w:cs="Times New Roman"/>
              <w:color w:val="auto"/>
              <w:sz w:val="28"/>
              <w:szCs w:val="28"/>
              <w:highlight w:val="none"/>
            </w:rPr>
            <w:fldChar w:fldCharType="end"/>
          </w:r>
        </w:p>
        <w:p>
          <w:pPr>
            <w:pStyle w:val="19"/>
            <w:keepNext w:val="0"/>
            <w:keepLines w:val="0"/>
            <w:pageBreakBefore w:val="0"/>
            <w:widowControl w:val="0"/>
            <w:tabs>
              <w:tab w:val="right" w:leader="dot" w:pos="8333"/>
            </w:tabs>
            <w:kinsoku/>
            <w:wordWrap/>
            <w:overflowPunct/>
            <w:topLinePunct w:val="0"/>
            <w:autoSpaceDE/>
            <w:autoSpaceDN/>
            <w:bidi w:val="0"/>
            <w:adjustRightInd/>
            <w:snapToGrid/>
            <w:ind w:left="0" w:leftChars="0" w:firstLine="0" w:firstLineChars="0"/>
            <w:textAlignment w:val="auto"/>
            <w:rPr>
              <w:color w:val="auto"/>
              <w:sz w:val="28"/>
              <w:szCs w:val="28"/>
              <w:highlight w:val="none"/>
            </w:rPr>
          </w:pPr>
          <w:r>
            <w:rPr>
              <w:rFonts w:hint="default" w:ascii="Times New Roman" w:hAnsi="Times New Roman" w:eastAsia="宋体" w:cs="Times New Roman"/>
              <w:color w:val="auto"/>
              <w:sz w:val="28"/>
              <w:szCs w:val="28"/>
              <w:highlight w:val="none"/>
            </w:rPr>
            <w:fldChar w:fldCharType="begin"/>
          </w:r>
          <w:r>
            <w:rPr>
              <w:rFonts w:hint="default" w:ascii="Times New Roman" w:hAnsi="Times New Roman" w:eastAsia="宋体" w:cs="Times New Roman"/>
              <w:color w:val="auto"/>
              <w:sz w:val="28"/>
              <w:szCs w:val="28"/>
              <w:highlight w:val="none"/>
            </w:rPr>
            <w:instrText xml:space="preserve"> HYPERLINK \l _Toc2141329827 </w:instrText>
          </w:r>
          <w:r>
            <w:rPr>
              <w:rFonts w:hint="default" w:ascii="Times New Roman" w:hAnsi="Times New Roman" w:eastAsia="宋体" w:cs="Times New Roman"/>
              <w:color w:val="auto"/>
              <w:sz w:val="28"/>
              <w:szCs w:val="28"/>
              <w:highlight w:val="none"/>
            </w:rPr>
            <w:fldChar w:fldCharType="separate"/>
          </w:r>
          <w:r>
            <w:rPr>
              <w:rFonts w:hint="eastAsia"/>
              <w:color w:val="auto"/>
              <w:sz w:val="28"/>
              <w:szCs w:val="28"/>
              <w:highlight w:val="none"/>
              <w:lang w:val="en-US" w:eastAsia="zh-CN"/>
            </w:rPr>
            <w:t>1.3工程地质</w:t>
          </w:r>
          <w:r>
            <w:rPr>
              <w:color w:val="auto"/>
              <w:sz w:val="28"/>
              <w:szCs w:val="28"/>
              <w:highlight w:val="none"/>
            </w:rPr>
            <w:tab/>
          </w:r>
          <w:r>
            <w:rPr>
              <w:rFonts w:hint="eastAsia"/>
              <w:color w:val="auto"/>
              <w:sz w:val="28"/>
              <w:szCs w:val="28"/>
              <w:highlight w:val="none"/>
              <w:lang w:val="en-US" w:eastAsia="zh-CN"/>
            </w:rPr>
            <w:t>1-</w:t>
          </w:r>
          <w:r>
            <w:rPr>
              <w:color w:val="auto"/>
              <w:sz w:val="28"/>
              <w:szCs w:val="28"/>
              <w:highlight w:val="none"/>
            </w:rPr>
            <w:fldChar w:fldCharType="begin"/>
          </w:r>
          <w:r>
            <w:rPr>
              <w:color w:val="auto"/>
              <w:sz w:val="28"/>
              <w:szCs w:val="28"/>
              <w:highlight w:val="none"/>
            </w:rPr>
            <w:instrText xml:space="preserve"> PAGEREF _Toc2141329827 </w:instrText>
          </w:r>
          <w:r>
            <w:rPr>
              <w:color w:val="auto"/>
              <w:sz w:val="28"/>
              <w:szCs w:val="28"/>
              <w:highlight w:val="none"/>
            </w:rPr>
            <w:fldChar w:fldCharType="separate"/>
          </w:r>
          <w:r>
            <w:rPr>
              <w:color w:val="auto"/>
              <w:sz w:val="28"/>
              <w:szCs w:val="28"/>
              <w:highlight w:val="none"/>
            </w:rPr>
            <w:t>8</w:t>
          </w:r>
          <w:r>
            <w:rPr>
              <w:color w:val="auto"/>
              <w:sz w:val="28"/>
              <w:szCs w:val="28"/>
              <w:highlight w:val="none"/>
            </w:rPr>
            <w:fldChar w:fldCharType="end"/>
          </w:r>
          <w:r>
            <w:rPr>
              <w:rFonts w:hint="default" w:ascii="Times New Roman" w:hAnsi="Times New Roman" w:eastAsia="宋体" w:cs="Times New Roman"/>
              <w:color w:val="auto"/>
              <w:sz w:val="28"/>
              <w:szCs w:val="28"/>
              <w:highlight w:val="none"/>
            </w:rPr>
            <w:fldChar w:fldCharType="end"/>
          </w:r>
        </w:p>
        <w:p>
          <w:pPr>
            <w:pStyle w:val="19"/>
            <w:keepNext w:val="0"/>
            <w:keepLines w:val="0"/>
            <w:pageBreakBefore w:val="0"/>
            <w:widowControl w:val="0"/>
            <w:tabs>
              <w:tab w:val="right" w:leader="dot" w:pos="8333"/>
            </w:tabs>
            <w:kinsoku/>
            <w:wordWrap/>
            <w:overflowPunct/>
            <w:topLinePunct w:val="0"/>
            <w:autoSpaceDE/>
            <w:autoSpaceDN/>
            <w:bidi w:val="0"/>
            <w:adjustRightInd/>
            <w:snapToGrid/>
            <w:ind w:left="0" w:leftChars="0" w:firstLine="0" w:firstLineChars="0"/>
            <w:textAlignment w:val="auto"/>
            <w:rPr>
              <w:color w:val="auto"/>
              <w:sz w:val="28"/>
              <w:szCs w:val="28"/>
              <w:highlight w:val="none"/>
            </w:rPr>
          </w:pPr>
          <w:r>
            <w:rPr>
              <w:rFonts w:hint="default" w:ascii="Times New Roman" w:hAnsi="Times New Roman" w:eastAsia="宋体" w:cs="Times New Roman"/>
              <w:color w:val="auto"/>
              <w:sz w:val="28"/>
              <w:szCs w:val="28"/>
              <w:highlight w:val="none"/>
            </w:rPr>
            <w:fldChar w:fldCharType="begin"/>
          </w:r>
          <w:r>
            <w:rPr>
              <w:rFonts w:hint="default" w:ascii="Times New Roman" w:hAnsi="Times New Roman" w:eastAsia="宋体" w:cs="Times New Roman"/>
              <w:color w:val="auto"/>
              <w:sz w:val="28"/>
              <w:szCs w:val="28"/>
              <w:highlight w:val="none"/>
            </w:rPr>
            <w:instrText xml:space="preserve"> HYPERLINK \l _Toc840086293 </w:instrText>
          </w:r>
          <w:r>
            <w:rPr>
              <w:rFonts w:hint="default" w:ascii="Times New Roman" w:hAnsi="Times New Roman" w:eastAsia="宋体" w:cs="Times New Roman"/>
              <w:color w:val="auto"/>
              <w:sz w:val="28"/>
              <w:szCs w:val="28"/>
              <w:highlight w:val="none"/>
            </w:rPr>
            <w:fldChar w:fldCharType="separate"/>
          </w:r>
          <w:r>
            <w:rPr>
              <w:rFonts w:hint="eastAsia"/>
              <w:color w:val="auto"/>
              <w:sz w:val="28"/>
              <w:szCs w:val="28"/>
              <w:highlight w:val="none"/>
              <w:lang w:val="en-US" w:eastAsia="zh-CN"/>
            </w:rPr>
            <w:t>1.4工程任务与规模</w:t>
          </w:r>
          <w:r>
            <w:rPr>
              <w:color w:val="auto"/>
              <w:sz w:val="28"/>
              <w:szCs w:val="28"/>
              <w:highlight w:val="none"/>
            </w:rPr>
            <w:tab/>
          </w:r>
          <w:r>
            <w:rPr>
              <w:rFonts w:hint="eastAsia"/>
              <w:color w:val="auto"/>
              <w:sz w:val="28"/>
              <w:szCs w:val="28"/>
              <w:highlight w:val="none"/>
              <w:lang w:val="en-US" w:eastAsia="zh-CN"/>
            </w:rPr>
            <w:t>1-</w:t>
          </w:r>
          <w:r>
            <w:rPr>
              <w:color w:val="auto"/>
              <w:sz w:val="28"/>
              <w:szCs w:val="28"/>
              <w:highlight w:val="none"/>
            </w:rPr>
            <w:fldChar w:fldCharType="begin"/>
          </w:r>
          <w:r>
            <w:rPr>
              <w:color w:val="auto"/>
              <w:sz w:val="28"/>
              <w:szCs w:val="28"/>
              <w:highlight w:val="none"/>
            </w:rPr>
            <w:instrText xml:space="preserve"> PAGEREF _Toc840086293 </w:instrText>
          </w:r>
          <w:r>
            <w:rPr>
              <w:color w:val="auto"/>
              <w:sz w:val="28"/>
              <w:szCs w:val="28"/>
              <w:highlight w:val="none"/>
            </w:rPr>
            <w:fldChar w:fldCharType="separate"/>
          </w:r>
          <w:r>
            <w:rPr>
              <w:color w:val="auto"/>
              <w:sz w:val="28"/>
              <w:szCs w:val="28"/>
              <w:highlight w:val="none"/>
            </w:rPr>
            <w:t>10</w:t>
          </w:r>
          <w:r>
            <w:rPr>
              <w:color w:val="auto"/>
              <w:sz w:val="28"/>
              <w:szCs w:val="28"/>
              <w:highlight w:val="none"/>
            </w:rPr>
            <w:fldChar w:fldCharType="end"/>
          </w:r>
          <w:r>
            <w:rPr>
              <w:rFonts w:hint="default" w:ascii="Times New Roman" w:hAnsi="Times New Roman" w:eastAsia="宋体" w:cs="Times New Roman"/>
              <w:color w:val="auto"/>
              <w:sz w:val="28"/>
              <w:szCs w:val="28"/>
              <w:highlight w:val="none"/>
            </w:rPr>
            <w:fldChar w:fldCharType="end"/>
          </w:r>
        </w:p>
        <w:p>
          <w:pPr>
            <w:pStyle w:val="19"/>
            <w:keepNext w:val="0"/>
            <w:keepLines w:val="0"/>
            <w:pageBreakBefore w:val="0"/>
            <w:widowControl w:val="0"/>
            <w:tabs>
              <w:tab w:val="right" w:leader="dot" w:pos="8333"/>
            </w:tabs>
            <w:kinsoku/>
            <w:wordWrap/>
            <w:overflowPunct/>
            <w:topLinePunct w:val="0"/>
            <w:autoSpaceDE/>
            <w:autoSpaceDN/>
            <w:bidi w:val="0"/>
            <w:adjustRightInd/>
            <w:snapToGrid/>
            <w:ind w:left="0" w:leftChars="0" w:firstLine="0" w:firstLineChars="0"/>
            <w:textAlignment w:val="auto"/>
            <w:rPr>
              <w:color w:val="auto"/>
              <w:sz w:val="28"/>
              <w:szCs w:val="28"/>
              <w:highlight w:val="none"/>
            </w:rPr>
          </w:pPr>
          <w:r>
            <w:rPr>
              <w:rFonts w:hint="default" w:ascii="Times New Roman" w:hAnsi="Times New Roman" w:eastAsia="宋体" w:cs="Times New Roman"/>
              <w:color w:val="auto"/>
              <w:sz w:val="28"/>
              <w:szCs w:val="28"/>
              <w:highlight w:val="none"/>
            </w:rPr>
            <w:fldChar w:fldCharType="begin"/>
          </w:r>
          <w:r>
            <w:rPr>
              <w:rFonts w:hint="default" w:ascii="Times New Roman" w:hAnsi="Times New Roman" w:eastAsia="宋体" w:cs="Times New Roman"/>
              <w:color w:val="auto"/>
              <w:sz w:val="28"/>
              <w:szCs w:val="28"/>
              <w:highlight w:val="none"/>
            </w:rPr>
            <w:instrText xml:space="preserve"> HYPERLINK \l _Toc1327513921 </w:instrText>
          </w:r>
          <w:r>
            <w:rPr>
              <w:rFonts w:hint="default" w:ascii="Times New Roman" w:hAnsi="Times New Roman" w:eastAsia="宋体" w:cs="Times New Roman"/>
              <w:color w:val="auto"/>
              <w:sz w:val="28"/>
              <w:szCs w:val="28"/>
              <w:highlight w:val="none"/>
            </w:rPr>
            <w:fldChar w:fldCharType="separate"/>
          </w:r>
          <w:r>
            <w:rPr>
              <w:rFonts w:hint="eastAsia"/>
              <w:color w:val="auto"/>
              <w:sz w:val="28"/>
              <w:szCs w:val="28"/>
              <w:highlight w:val="none"/>
              <w:lang w:val="en-US" w:eastAsia="zh-CN"/>
            </w:rPr>
            <w:t>1.5工程布置及建筑物</w:t>
          </w:r>
          <w:r>
            <w:rPr>
              <w:color w:val="auto"/>
              <w:sz w:val="28"/>
              <w:szCs w:val="28"/>
              <w:highlight w:val="none"/>
            </w:rPr>
            <w:tab/>
          </w:r>
          <w:r>
            <w:rPr>
              <w:rFonts w:hint="eastAsia"/>
              <w:color w:val="auto"/>
              <w:sz w:val="28"/>
              <w:szCs w:val="28"/>
              <w:highlight w:val="none"/>
              <w:lang w:val="en-US" w:eastAsia="zh-CN"/>
            </w:rPr>
            <w:t>1-</w:t>
          </w:r>
          <w:r>
            <w:rPr>
              <w:color w:val="auto"/>
              <w:sz w:val="28"/>
              <w:szCs w:val="28"/>
              <w:highlight w:val="none"/>
            </w:rPr>
            <w:fldChar w:fldCharType="begin"/>
          </w:r>
          <w:r>
            <w:rPr>
              <w:color w:val="auto"/>
              <w:sz w:val="28"/>
              <w:szCs w:val="28"/>
              <w:highlight w:val="none"/>
            </w:rPr>
            <w:instrText xml:space="preserve"> PAGEREF _Toc1327513921 </w:instrText>
          </w:r>
          <w:r>
            <w:rPr>
              <w:color w:val="auto"/>
              <w:sz w:val="28"/>
              <w:szCs w:val="28"/>
              <w:highlight w:val="none"/>
            </w:rPr>
            <w:fldChar w:fldCharType="separate"/>
          </w:r>
          <w:r>
            <w:rPr>
              <w:color w:val="auto"/>
              <w:sz w:val="28"/>
              <w:szCs w:val="28"/>
              <w:highlight w:val="none"/>
            </w:rPr>
            <w:t>13</w:t>
          </w:r>
          <w:r>
            <w:rPr>
              <w:color w:val="auto"/>
              <w:sz w:val="28"/>
              <w:szCs w:val="28"/>
              <w:highlight w:val="none"/>
            </w:rPr>
            <w:fldChar w:fldCharType="end"/>
          </w:r>
          <w:r>
            <w:rPr>
              <w:rFonts w:hint="default" w:ascii="Times New Roman" w:hAnsi="Times New Roman" w:eastAsia="宋体" w:cs="Times New Roman"/>
              <w:color w:val="auto"/>
              <w:sz w:val="28"/>
              <w:szCs w:val="28"/>
              <w:highlight w:val="none"/>
            </w:rPr>
            <w:fldChar w:fldCharType="end"/>
          </w:r>
        </w:p>
        <w:p>
          <w:pPr>
            <w:pStyle w:val="19"/>
            <w:keepNext w:val="0"/>
            <w:keepLines w:val="0"/>
            <w:pageBreakBefore w:val="0"/>
            <w:widowControl w:val="0"/>
            <w:tabs>
              <w:tab w:val="right" w:leader="dot" w:pos="8333"/>
            </w:tabs>
            <w:kinsoku/>
            <w:wordWrap/>
            <w:overflowPunct/>
            <w:topLinePunct w:val="0"/>
            <w:autoSpaceDE/>
            <w:autoSpaceDN/>
            <w:bidi w:val="0"/>
            <w:adjustRightInd/>
            <w:snapToGrid/>
            <w:ind w:left="0" w:leftChars="0" w:firstLine="0" w:firstLineChars="0"/>
            <w:textAlignment w:val="auto"/>
            <w:rPr>
              <w:color w:val="auto"/>
              <w:sz w:val="28"/>
              <w:szCs w:val="28"/>
              <w:highlight w:val="none"/>
            </w:rPr>
          </w:pPr>
          <w:r>
            <w:rPr>
              <w:rFonts w:hint="default" w:ascii="Times New Roman" w:hAnsi="Times New Roman" w:eastAsia="宋体" w:cs="Times New Roman"/>
              <w:color w:val="auto"/>
              <w:sz w:val="28"/>
              <w:szCs w:val="28"/>
              <w:highlight w:val="none"/>
            </w:rPr>
            <w:fldChar w:fldCharType="begin"/>
          </w:r>
          <w:r>
            <w:rPr>
              <w:rFonts w:hint="default" w:ascii="Times New Roman" w:hAnsi="Times New Roman" w:eastAsia="宋体" w:cs="Times New Roman"/>
              <w:color w:val="auto"/>
              <w:sz w:val="28"/>
              <w:szCs w:val="28"/>
              <w:highlight w:val="none"/>
            </w:rPr>
            <w:instrText xml:space="preserve"> HYPERLINK \l _Toc115711803 </w:instrText>
          </w:r>
          <w:r>
            <w:rPr>
              <w:rFonts w:hint="default" w:ascii="Times New Roman" w:hAnsi="Times New Roman" w:eastAsia="宋体" w:cs="Times New Roman"/>
              <w:color w:val="auto"/>
              <w:sz w:val="28"/>
              <w:szCs w:val="28"/>
              <w:highlight w:val="none"/>
            </w:rPr>
            <w:fldChar w:fldCharType="separate"/>
          </w:r>
          <w:r>
            <w:rPr>
              <w:rFonts w:hint="eastAsia"/>
              <w:color w:val="auto"/>
              <w:sz w:val="28"/>
              <w:szCs w:val="28"/>
              <w:highlight w:val="none"/>
              <w:lang w:val="en-US" w:eastAsia="zh-CN"/>
            </w:rPr>
            <w:t>1.6机电及金属结构</w:t>
          </w:r>
          <w:r>
            <w:rPr>
              <w:color w:val="auto"/>
              <w:sz w:val="28"/>
              <w:szCs w:val="28"/>
              <w:highlight w:val="none"/>
            </w:rPr>
            <w:tab/>
          </w:r>
          <w:r>
            <w:rPr>
              <w:rFonts w:hint="eastAsia"/>
              <w:color w:val="auto"/>
              <w:sz w:val="28"/>
              <w:szCs w:val="28"/>
              <w:highlight w:val="none"/>
              <w:lang w:val="en-US" w:eastAsia="zh-CN"/>
            </w:rPr>
            <w:t>1-</w:t>
          </w:r>
          <w:r>
            <w:rPr>
              <w:color w:val="auto"/>
              <w:sz w:val="28"/>
              <w:szCs w:val="28"/>
              <w:highlight w:val="none"/>
            </w:rPr>
            <w:fldChar w:fldCharType="begin"/>
          </w:r>
          <w:r>
            <w:rPr>
              <w:color w:val="auto"/>
              <w:sz w:val="28"/>
              <w:szCs w:val="28"/>
              <w:highlight w:val="none"/>
            </w:rPr>
            <w:instrText xml:space="preserve"> PAGEREF _Toc115711803 </w:instrText>
          </w:r>
          <w:r>
            <w:rPr>
              <w:color w:val="auto"/>
              <w:sz w:val="28"/>
              <w:szCs w:val="28"/>
              <w:highlight w:val="none"/>
            </w:rPr>
            <w:fldChar w:fldCharType="separate"/>
          </w:r>
          <w:r>
            <w:rPr>
              <w:color w:val="auto"/>
              <w:sz w:val="28"/>
              <w:szCs w:val="28"/>
              <w:highlight w:val="none"/>
            </w:rPr>
            <w:t>17</w:t>
          </w:r>
          <w:r>
            <w:rPr>
              <w:color w:val="auto"/>
              <w:sz w:val="28"/>
              <w:szCs w:val="28"/>
              <w:highlight w:val="none"/>
            </w:rPr>
            <w:fldChar w:fldCharType="end"/>
          </w:r>
          <w:r>
            <w:rPr>
              <w:rFonts w:hint="default" w:ascii="Times New Roman" w:hAnsi="Times New Roman" w:eastAsia="宋体" w:cs="Times New Roman"/>
              <w:color w:val="auto"/>
              <w:sz w:val="28"/>
              <w:szCs w:val="28"/>
              <w:highlight w:val="none"/>
            </w:rPr>
            <w:fldChar w:fldCharType="end"/>
          </w:r>
        </w:p>
        <w:p>
          <w:pPr>
            <w:pStyle w:val="19"/>
            <w:keepNext w:val="0"/>
            <w:keepLines w:val="0"/>
            <w:pageBreakBefore w:val="0"/>
            <w:widowControl w:val="0"/>
            <w:tabs>
              <w:tab w:val="right" w:leader="dot" w:pos="8333"/>
            </w:tabs>
            <w:kinsoku/>
            <w:wordWrap/>
            <w:overflowPunct/>
            <w:topLinePunct w:val="0"/>
            <w:autoSpaceDE/>
            <w:autoSpaceDN/>
            <w:bidi w:val="0"/>
            <w:adjustRightInd/>
            <w:snapToGrid/>
            <w:ind w:left="0" w:leftChars="0" w:firstLine="0" w:firstLineChars="0"/>
            <w:textAlignment w:val="auto"/>
            <w:rPr>
              <w:color w:val="auto"/>
              <w:sz w:val="28"/>
              <w:szCs w:val="28"/>
              <w:highlight w:val="none"/>
            </w:rPr>
          </w:pPr>
          <w:r>
            <w:rPr>
              <w:rFonts w:hint="default" w:ascii="Times New Roman" w:hAnsi="Times New Roman" w:eastAsia="宋体" w:cs="Times New Roman"/>
              <w:color w:val="auto"/>
              <w:sz w:val="28"/>
              <w:szCs w:val="28"/>
              <w:highlight w:val="none"/>
            </w:rPr>
            <w:fldChar w:fldCharType="begin"/>
          </w:r>
          <w:r>
            <w:rPr>
              <w:rFonts w:hint="default" w:ascii="Times New Roman" w:hAnsi="Times New Roman" w:eastAsia="宋体" w:cs="Times New Roman"/>
              <w:color w:val="auto"/>
              <w:sz w:val="28"/>
              <w:szCs w:val="28"/>
              <w:highlight w:val="none"/>
            </w:rPr>
            <w:instrText xml:space="preserve"> HYPERLINK \l _Toc1830736475 </w:instrText>
          </w:r>
          <w:r>
            <w:rPr>
              <w:rFonts w:hint="default" w:ascii="Times New Roman" w:hAnsi="Times New Roman" w:eastAsia="宋体" w:cs="Times New Roman"/>
              <w:color w:val="auto"/>
              <w:sz w:val="28"/>
              <w:szCs w:val="28"/>
              <w:highlight w:val="none"/>
            </w:rPr>
            <w:fldChar w:fldCharType="separate"/>
          </w:r>
          <w:r>
            <w:rPr>
              <w:rFonts w:hint="eastAsia"/>
              <w:color w:val="auto"/>
              <w:sz w:val="28"/>
              <w:szCs w:val="28"/>
              <w:highlight w:val="none"/>
              <w:lang w:val="en-US" w:eastAsia="zh-CN"/>
            </w:rPr>
            <w:t>1.7施工组织设计</w:t>
          </w:r>
          <w:r>
            <w:rPr>
              <w:color w:val="auto"/>
              <w:sz w:val="28"/>
              <w:szCs w:val="28"/>
              <w:highlight w:val="none"/>
            </w:rPr>
            <w:tab/>
          </w:r>
          <w:r>
            <w:rPr>
              <w:rFonts w:hint="eastAsia"/>
              <w:color w:val="auto"/>
              <w:sz w:val="28"/>
              <w:szCs w:val="28"/>
              <w:highlight w:val="none"/>
              <w:lang w:val="en-US" w:eastAsia="zh-CN"/>
            </w:rPr>
            <w:t>1-</w:t>
          </w:r>
          <w:r>
            <w:rPr>
              <w:color w:val="auto"/>
              <w:sz w:val="28"/>
              <w:szCs w:val="28"/>
              <w:highlight w:val="none"/>
            </w:rPr>
            <w:fldChar w:fldCharType="begin"/>
          </w:r>
          <w:r>
            <w:rPr>
              <w:color w:val="auto"/>
              <w:sz w:val="28"/>
              <w:szCs w:val="28"/>
              <w:highlight w:val="none"/>
            </w:rPr>
            <w:instrText xml:space="preserve"> PAGEREF _Toc1830736475 </w:instrText>
          </w:r>
          <w:r>
            <w:rPr>
              <w:color w:val="auto"/>
              <w:sz w:val="28"/>
              <w:szCs w:val="28"/>
              <w:highlight w:val="none"/>
            </w:rPr>
            <w:fldChar w:fldCharType="separate"/>
          </w:r>
          <w:r>
            <w:rPr>
              <w:color w:val="auto"/>
              <w:sz w:val="28"/>
              <w:szCs w:val="28"/>
              <w:highlight w:val="none"/>
            </w:rPr>
            <w:t>18</w:t>
          </w:r>
          <w:r>
            <w:rPr>
              <w:color w:val="auto"/>
              <w:sz w:val="28"/>
              <w:szCs w:val="28"/>
              <w:highlight w:val="none"/>
            </w:rPr>
            <w:fldChar w:fldCharType="end"/>
          </w:r>
          <w:r>
            <w:rPr>
              <w:rFonts w:hint="default" w:ascii="Times New Roman" w:hAnsi="Times New Roman" w:eastAsia="宋体" w:cs="Times New Roman"/>
              <w:color w:val="auto"/>
              <w:sz w:val="28"/>
              <w:szCs w:val="28"/>
              <w:highlight w:val="none"/>
            </w:rPr>
            <w:fldChar w:fldCharType="end"/>
          </w:r>
        </w:p>
        <w:p>
          <w:pPr>
            <w:pStyle w:val="19"/>
            <w:keepNext w:val="0"/>
            <w:keepLines w:val="0"/>
            <w:pageBreakBefore w:val="0"/>
            <w:widowControl w:val="0"/>
            <w:tabs>
              <w:tab w:val="right" w:leader="dot" w:pos="8333"/>
            </w:tabs>
            <w:kinsoku/>
            <w:wordWrap/>
            <w:overflowPunct/>
            <w:topLinePunct w:val="0"/>
            <w:autoSpaceDE/>
            <w:autoSpaceDN/>
            <w:bidi w:val="0"/>
            <w:adjustRightInd/>
            <w:snapToGrid/>
            <w:ind w:left="0" w:leftChars="0" w:firstLine="0" w:firstLineChars="0"/>
            <w:textAlignment w:val="auto"/>
            <w:rPr>
              <w:color w:val="auto"/>
              <w:sz w:val="28"/>
              <w:szCs w:val="28"/>
              <w:highlight w:val="none"/>
            </w:rPr>
          </w:pPr>
          <w:r>
            <w:rPr>
              <w:rFonts w:hint="default" w:ascii="Times New Roman" w:hAnsi="Times New Roman" w:eastAsia="宋体" w:cs="Times New Roman"/>
              <w:color w:val="auto"/>
              <w:sz w:val="28"/>
              <w:szCs w:val="28"/>
              <w:highlight w:val="none"/>
            </w:rPr>
            <w:fldChar w:fldCharType="begin"/>
          </w:r>
          <w:r>
            <w:rPr>
              <w:rFonts w:hint="default" w:ascii="Times New Roman" w:hAnsi="Times New Roman" w:eastAsia="宋体" w:cs="Times New Roman"/>
              <w:color w:val="auto"/>
              <w:sz w:val="28"/>
              <w:szCs w:val="28"/>
              <w:highlight w:val="none"/>
            </w:rPr>
            <w:instrText xml:space="preserve"> HYPERLINK \l _Toc711616581 </w:instrText>
          </w:r>
          <w:r>
            <w:rPr>
              <w:rFonts w:hint="default" w:ascii="Times New Roman" w:hAnsi="Times New Roman" w:eastAsia="宋体" w:cs="Times New Roman"/>
              <w:color w:val="auto"/>
              <w:sz w:val="28"/>
              <w:szCs w:val="28"/>
              <w:highlight w:val="none"/>
            </w:rPr>
            <w:fldChar w:fldCharType="separate"/>
          </w:r>
          <w:r>
            <w:rPr>
              <w:rFonts w:hint="eastAsia"/>
              <w:color w:val="auto"/>
              <w:sz w:val="28"/>
              <w:szCs w:val="28"/>
              <w:highlight w:val="none"/>
              <w:lang w:val="en-US" w:eastAsia="zh-CN"/>
            </w:rPr>
            <w:t>1.8工程占地</w:t>
          </w:r>
          <w:r>
            <w:rPr>
              <w:color w:val="auto"/>
              <w:sz w:val="28"/>
              <w:szCs w:val="28"/>
              <w:highlight w:val="none"/>
            </w:rPr>
            <w:tab/>
          </w:r>
          <w:r>
            <w:rPr>
              <w:rFonts w:hint="eastAsia"/>
              <w:color w:val="auto"/>
              <w:sz w:val="28"/>
              <w:szCs w:val="28"/>
              <w:highlight w:val="none"/>
              <w:lang w:val="en-US" w:eastAsia="zh-CN"/>
            </w:rPr>
            <w:t>1-</w:t>
          </w:r>
          <w:r>
            <w:rPr>
              <w:color w:val="auto"/>
              <w:sz w:val="28"/>
              <w:szCs w:val="28"/>
              <w:highlight w:val="none"/>
            </w:rPr>
            <w:fldChar w:fldCharType="begin"/>
          </w:r>
          <w:r>
            <w:rPr>
              <w:color w:val="auto"/>
              <w:sz w:val="28"/>
              <w:szCs w:val="28"/>
              <w:highlight w:val="none"/>
            </w:rPr>
            <w:instrText xml:space="preserve"> PAGEREF _Toc711616581 </w:instrText>
          </w:r>
          <w:r>
            <w:rPr>
              <w:color w:val="auto"/>
              <w:sz w:val="28"/>
              <w:szCs w:val="28"/>
              <w:highlight w:val="none"/>
            </w:rPr>
            <w:fldChar w:fldCharType="separate"/>
          </w:r>
          <w:r>
            <w:rPr>
              <w:color w:val="auto"/>
              <w:sz w:val="28"/>
              <w:szCs w:val="28"/>
              <w:highlight w:val="none"/>
            </w:rPr>
            <w:t>20</w:t>
          </w:r>
          <w:r>
            <w:rPr>
              <w:color w:val="auto"/>
              <w:sz w:val="28"/>
              <w:szCs w:val="28"/>
              <w:highlight w:val="none"/>
            </w:rPr>
            <w:fldChar w:fldCharType="end"/>
          </w:r>
          <w:r>
            <w:rPr>
              <w:rFonts w:hint="default" w:ascii="Times New Roman" w:hAnsi="Times New Roman" w:eastAsia="宋体" w:cs="Times New Roman"/>
              <w:color w:val="auto"/>
              <w:sz w:val="28"/>
              <w:szCs w:val="28"/>
              <w:highlight w:val="none"/>
            </w:rPr>
            <w:fldChar w:fldCharType="end"/>
          </w:r>
        </w:p>
        <w:p>
          <w:pPr>
            <w:pStyle w:val="19"/>
            <w:keepNext w:val="0"/>
            <w:keepLines w:val="0"/>
            <w:pageBreakBefore w:val="0"/>
            <w:widowControl w:val="0"/>
            <w:tabs>
              <w:tab w:val="right" w:leader="dot" w:pos="8333"/>
            </w:tabs>
            <w:kinsoku/>
            <w:wordWrap/>
            <w:overflowPunct/>
            <w:topLinePunct w:val="0"/>
            <w:autoSpaceDE/>
            <w:autoSpaceDN/>
            <w:bidi w:val="0"/>
            <w:adjustRightInd/>
            <w:snapToGrid/>
            <w:ind w:left="0" w:leftChars="0" w:firstLine="0" w:firstLineChars="0"/>
            <w:textAlignment w:val="auto"/>
            <w:rPr>
              <w:color w:val="auto"/>
              <w:sz w:val="28"/>
              <w:szCs w:val="28"/>
              <w:highlight w:val="none"/>
            </w:rPr>
          </w:pPr>
          <w:r>
            <w:rPr>
              <w:rFonts w:hint="default" w:ascii="Times New Roman" w:hAnsi="Times New Roman" w:eastAsia="宋体" w:cs="Times New Roman"/>
              <w:color w:val="auto"/>
              <w:sz w:val="28"/>
              <w:szCs w:val="28"/>
              <w:highlight w:val="none"/>
            </w:rPr>
            <w:fldChar w:fldCharType="begin"/>
          </w:r>
          <w:r>
            <w:rPr>
              <w:rFonts w:hint="default" w:ascii="Times New Roman" w:hAnsi="Times New Roman" w:eastAsia="宋体" w:cs="Times New Roman"/>
              <w:color w:val="auto"/>
              <w:sz w:val="28"/>
              <w:szCs w:val="28"/>
              <w:highlight w:val="none"/>
            </w:rPr>
            <w:instrText xml:space="preserve"> HYPERLINK \l _Toc929189858 </w:instrText>
          </w:r>
          <w:r>
            <w:rPr>
              <w:rFonts w:hint="default" w:ascii="Times New Roman" w:hAnsi="Times New Roman" w:eastAsia="宋体" w:cs="Times New Roman"/>
              <w:color w:val="auto"/>
              <w:sz w:val="28"/>
              <w:szCs w:val="28"/>
              <w:highlight w:val="none"/>
            </w:rPr>
            <w:fldChar w:fldCharType="separate"/>
          </w:r>
          <w:r>
            <w:rPr>
              <w:rFonts w:hint="eastAsia"/>
              <w:color w:val="auto"/>
              <w:sz w:val="28"/>
              <w:szCs w:val="28"/>
              <w:highlight w:val="none"/>
              <w:lang w:val="en-US" w:eastAsia="zh-CN"/>
            </w:rPr>
            <w:t>1.9环境保护设计</w:t>
          </w:r>
          <w:r>
            <w:rPr>
              <w:color w:val="auto"/>
              <w:sz w:val="28"/>
              <w:szCs w:val="28"/>
              <w:highlight w:val="none"/>
            </w:rPr>
            <w:tab/>
          </w:r>
          <w:r>
            <w:rPr>
              <w:rFonts w:hint="eastAsia"/>
              <w:color w:val="auto"/>
              <w:sz w:val="28"/>
              <w:szCs w:val="28"/>
              <w:highlight w:val="none"/>
              <w:lang w:val="en-US" w:eastAsia="zh-CN"/>
            </w:rPr>
            <w:t>1-</w:t>
          </w:r>
          <w:r>
            <w:rPr>
              <w:color w:val="auto"/>
              <w:sz w:val="28"/>
              <w:szCs w:val="28"/>
              <w:highlight w:val="none"/>
            </w:rPr>
            <w:fldChar w:fldCharType="begin"/>
          </w:r>
          <w:r>
            <w:rPr>
              <w:color w:val="auto"/>
              <w:sz w:val="28"/>
              <w:szCs w:val="28"/>
              <w:highlight w:val="none"/>
            </w:rPr>
            <w:instrText xml:space="preserve"> PAGEREF _Toc929189858 </w:instrText>
          </w:r>
          <w:r>
            <w:rPr>
              <w:color w:val="auto"/>
              <w:sz w:val="28"/>
              <w:szCs w:val="28"/>
              <w:highlight w:val="none"/>
            </w:rPr>
            <w:fldChar w:fldCharType="separate"/>
          </w:r>
          <w:r>
            <w:rPr>
              <w:color w:val="auto"/>
              <w:sz w:val="28"/>
              <w:szCs w:val="28"/>
              <w:highlight w:val="none"/>
            </w:rPr>
            <w:t>22</w:t>
          </w:r>
          <w:r>
            <w:rPr>
              <w:color w:val="auto"/>
              <w:sz w:val="28"/>
              <w:szCs w:val="28"/>
              <w:highlight w:val="none"/>
            </w:rPr>
            <w:fldChar w:fldCharType="end"/>
          </w:r>
          <w:r>
            <w:rPr>
              <w:rFonts w:hint="default" w:ascii="Times New Roman" w:hAnsi="Times New Roman" w:eastAsia="宋体" w:cs="Times New Roman"/>
              <w:color w:val="auto"/>
              <w:sz w:val="28"/>
              <w:szCs w:val="28"/>
              <w:highlight w:val="none"/>
            </w:rPr>
            <w:fldChar w:fldCharType="end"/>
          </w:r>
        </w:p>
        <w:p>
          <w:pPr>
            <w:pStyle w:val="19"/>
            <w:keepNext w:val="0"/>
            <w:keepLines w:val="0"/>
            <w:pageBreakBefore w:val="0"/>
            <w:widowControl w:val="0"/>
            <w:tabs>
              <w:tab w:val="right" w:leader="dot" w:pos="8333"/>
            </w:tabs>
            <w:kinsoku/>
            <w:wordWrap/>
            <w:overflowPunct/>
            <w:topLinePunct w:val="0"/>
            <w:autoSpaceDE/>
            <w:autoSpaceDN/>
            <w:bidi w:val="0"/>
            <w:adjustRightInd/>
            <w:snapToGrid/>
            <w:ind w:left="0" w:leftChars="0" w:firstLine="0" w:firstLineChars="0"/>
            <w:textAlignment w:val="auto"/>
            <w:rPr>
              <w:color w:val="auto"/>
              <w:sz w:val="28"/>
              <w:szCs w:val="28"/>
              <w:highlight w:val="none"/>
            </w:rPr>
          </w:pPr>
          <w:r>
            <w:rPr>
              <w:rFonts w:hint="default" w:ascii="Times New Roman" w:hAnsi="Times New Roman" w:eastAsia="宋体" w:cs="Times New Roman"/>
              <w:color w:val="auto"/>
              <w:sz w:val="28"/>
              <w:szCs w:val="28"/>
              <w:highlight w:val="none"/>
            </w:rPr>
            <w:fldChar w:fldCharType="begin"/>
          </w:r>
          <w:r>
            <w:rPr>
              <w:rFonts w:hint="default" w:ascii="Times New Roman" w:hAnsi="Times New Roman" w:eastAsia="宋体" w:cs="Times New Roman"/>
              <w:color w:val="auto"/>
              <w:sz w:val="28"/>
              <w:szCs w:val="28"/>
              <w:highlight w:val="none"/>
            </w:rPr>
            <w:instrText xml:space="preserve"> HYPERLINK \l _Toc2096183884 </w:instrText>
          </w:r>
          <w:r>
            <w:rPr>
              <w:rFonts w:hint="default" w:ascii="Times New Roman" w:hAnsi="Times New Roman" w:eastAsia="宋体" w:cs="Times New Roman"/>
              <w:color w:val="auto"/>
              <w:sz w:val="28"/>
              <w:szCs w:val="28"/>
              <w:highlight w:val="none"/>
            </w:rPr>
            <w:fldChar w:fldCharType="separate"/>
          </w:r>
          <w:r>
            <w:rPr>
              <w:rFonts w:hint="eastAsia"/>
              <w:color w:val="auto"/>
              <w:sz w:val="28"/>
              <w:szCs w:val="28"/>
              <w:highlight w:val="none"/>
              <w:lang w:val="en-US" w:eastAsia="zh-CN"/>
            </w:rPr>
            <w:t>1.10水土保持设计</w:t>
          </w:r>
          <w:r>
            <w:rPr>
              <w:color w:val="auto"/>
              <w:sz w:val="28"/>
              <w:szCs w:val="28"/>
              <w:highlight w:val="none"/>
            </w:rPr>
            <w:tab/>
          </w:r>
          <w:r>
            <w:rPr>
              <w:rFonts w:hint="eastAsia"/>
              <w:color w:val="auto"/>
              <w:sz w:val="28"/>
              <w:szCs w:val="28"/>
              <w:highlight w:val="none"/>
              <w:lang w:val="en-US" w:eastAsia="zh-CN"/>
            </w:rPr>
            <w:t>1-</w:t>
          </w:r>
          <w:r>
            <w:rPr>
              <w:color w:val="auto"/>
              <w:sz w:val="28"/>
              <w:szCs w:val="28"/>
              <w:highlight w:val="none"/>
            </w:rPr>
            <w:fldChar w:fldCharType="begin"/>
          </w:r>
          <w:r>
            <w:rPr>
              <w:color w:val="auto"/>
              <w:sz w:val="28"/>
              <w:szCs w:val="28"/>
              <w:highlight w:val="none"/>
            </w:rPr>
            <w:instrText xml:space="preserve"> PAGEREF _Toc2096183884 </w:instrText>
          </w:r>
          <w:r>
            <w:rPr>
              <w:color w:val="auto"/>
              <w:sz w:val="28"/>
              <w:szCs w:val="28"/>
              <w:highlight w:val="none"/>
            </w:rPr>
            <w:fldChar w:fldCharType="separate"/>
          </w:r>
          <w:r>
            <w:rPr>
              <w:color w:val="auto"/>
              <w:sz w:val="28"/>
              <w:szCs w:val="28"/>
              <w:highlight w:val="none"/>
            </w:rPr>
            <w:t>24</w:t>
          </w:r>
          <w:r>
            <w:rPr>
              <w:color w:val="auto"/>
              <w:sz w:val="28"/>
              <w:szCs w:val="28"/>
              <w:highlight w:val="none"/>
            </w:rPr>
            <w:fldChar w:fldCharType="end"/>
          </w:r>
          <w:r>
            <w:rPr>
              <w:rFonts w:hint="default" w:ascii="Times New Roman" w:hAnsi="Times New Roman" w:eastAsia="宋体" w:cs="Times New Roman"/>
              <w:color w:val="auto"/>
              <w:sz w:val="28"/>
              <w:szCs w:val="28"/>
              <w:highlight w:val="none"/>
            </w:rPr>
            <w:fldChar w:fldCharType="end"/>
          </w:r>
        </w:p>
        <w:p>
          <w:pPr>
            <w:pStyle w:val="19"/>
            <w:keepNext w:val="0"/>
            <w:keepLines w:val="0"/>
            <w:pageBreakBefore w:val="0"/>
            <w:widowControl w:val="0"/>
            <w:tabs>
              <w:tab w:val="right" w:leader="dot" w:pos="8333"/>
            </w:tabs>
            <w:kinsoku/>
            <w:wordWrap/>
            <w:overflowPunct/>
            <w:topLinePunct w:val="0"/>
            <w:autoSpaceDE/>
            <w:autoSpaceDN/>
            <w:bidi w:val="0"/>
            <w:adjustRightInd/>
            <w:snapToGrid/>
            <w:ind w:left="0" w:leftChars="0" w:firstLine="0" w:firstLineChars="0"/>
            <w:textAlignment w:val="auto"/>
            <w:rPr>
              <w:color w:val="auto"/>
              <w:sz w:val="28"/>
              <w:szCs w:val="28"/>
              <w:highlight w:val="none"/>
            </w:rPr>
          </w:pPr>
          <w:r>
            <w:rPr>
              <w:rFonts w:hint="default" w:ascii="Times New Roman" w:hAnsi="Times New Roman" w:eastAsia="宋体" w:cs="Times New Roman"/>
              <w:color w:val="auto"/>
              <w:sz w:val="28"/>
              <w:szCs w:val="28"/>
              <w:highlight w:val="none"/>
            </w:rPr>
            <w:fldChar w:fldCharType="begin"/>
          </w:r>
          <w:r>
            <w:rPr>
              <w:rFonts w:hint="default" w:ascii="Times New Roman" w:hAnsi="Times New Roman" w:eastAsia="宋体" w:cs="Times New Roman"/>
              <w:color w:val="auto"/>
              <w:sz w:val="28"/>
              <w:szCs w:val="28"/>
              <w:highlight w:val="none"/>
            </w:rPr>
            <w:instrText xml:space="preserve"> HYPERLINK \l _Toc372489927 </w:instrText>
          </w:r>
          <w:r>
            <w:rPr>
              <w:rFonts w:hint="default" w:ascii="Times New Roman" w:hAnsi="Times New Roman" w:eastAsia="宋体" w:cs="Times New Roman"/>
              <w:color w:val="auto"/>
              <w:sz w:val="28"/>
              <w:szCs w:val="28"/>
              <w:highlight w:val="none"/>
            </w:rPr>
            <w:fldChar w:fldCharType="separate"/>
          </w:r>
          <w:r>
            <w:rPr>
              <w:rFonts w:hint="eastAsia"/>
              <w:color w:val="auto"/>
              <w:sz w:val="28"/>
              <w:szCs w:val="28"/>
              <w:highlight w:val="none"/>
              <w:lang w:val="en-US" w:eastAsia="zh-CN"/>
            </w:rPr>
            <w:t>1.11劳动安全与工业卫生</w:t>
          </w:r>
          <w:r>
            <w:rPr>
              <w:color w:val="auto"/>
              <w:sz w:val="28"/>
              <w:szCs w:val="28"/>
              <w:highlight w:val="none"/>
            </w:rPr>
            <w:tab/>
          </w:r>
          <w:r>
            <w:rPr>
              <w:rFonts w:hint="eastAsia"/>
              <w:color w:val="auto"/>
              <w:sz w:val="28"/>
              <w:szCs w:val="28"/>
              <w:highlight w:val="none"/>
              <w:lang w:val="en-US" w:eastAsia="zh-CN"/>
            </w:rPr>
            <w:t>1-</w:t>
          </w:r>
          <w:r>
            <w:rPr>
              <w:color w:val="auto"/>
              <w:sz w:val="28"/>
              <w:szCs w:val="28"/>
              <w:highlight w:val="none"/>
            </w:rPr>
            <w:fldChar w:fldCharType="begin"/>
          </w:r>
          <w:r>
            <w:rPr>
              <w:color w:val="auto"/>
              <w:sz w:val="28"/>
              <w:szCs w:val="28"/>
              <w:highlight w:val="none"/>
            </w:rPr>
            <w:instrText xml:space="preserve"> PAGEREF _Toc372489927 </w:instrText>
          </w:r>
          <w:r>
            <w:rPr>
              <w:color w:val="auto"/>
              <w:sz w:val="28"/>
              <w:szCs w:val="28"/>
              <w:highlight w:val="none"/>
            </w:rPr>
            <w:fldChar w:fldCharType="separate"/>
          </w:r>
          <w:r>
            <w:rPr>
              <w:color w:val="auto"/>
              <w:sz w:val="28"/>
              <w:szCs w:val="28"/>
              <w:highlight w:val="none"/>
            </w:rPr>
            <w:t>27</w:t>
          </w:r>
          <w:r>
            <w:rPr>
              <w:color w:val="auto"/>
              <w:sz w:val="28"/>
              <w:szCs w:val="28"/>
              <w:highlight w:val="none"/>
            </w:rPr>
            <w:fldChar w:fldCharType="end"/>
          </w:r>
          <w:r>
            <w:rPr>
              <w:rFonts w:hint="default" w:ascii="Times New Roman" w:hAnsi="Times New Roman" w:eastAsia="宋体" w:cs="Times New Roman"/>
              <w:color w:val="auto"/>
              <w:sz w:val="28"/>
              <w:szCs w:val="28"/>
              <w:highlight w:val="none"/>
            </w:rPr>
            <w:fldChar w:fldCharType="end"/>
          </w:r>
        </w:p>
        <w:p>
          <w:pPr>
            <w:pStyle w:val="19"/>
            <w:keepNext w:val="0"/>
            <w:keepLines w:val="0"/>
            <w:pageBreakBefore w:val="0"/>
            <w:widowControl w:val="0"/>
            <w:tabs>
              <w:tab w:val="right" w:leader="dot" w:pos="8333"/>
            </w:tabs>
            <w:kinsoku/>
            <w:wordWrap/>
            <w:overflowPunct/>
            <w:topLinePunct w:val="0"/>
            <w:autoSpaceDE/>
            <w:autoSpaceDN/>
            <w:bidi w:val="0"/>
            <w:adjustRightInd/>
            <w:snapToGrid/>
            <w:ind w:left="0" w:leftChars="0" w:firstLine="0" w:firstLineChars="0"/>
            <w:textAlignment w:val="auto"/>
            <w:rPr>
              <w:color w:val="auto"/>
              <w:sz w:val="28"/>
              <w:szCs w:val="28"/>
              <w:highlight w:val="none"/>
            </w:rPr>
          </w:pPr>
          <w:r>
            <w:rPr>
              <w:rFonts w:hint="default" w:ascii="Times New Roman" w:hAnsi="Times New Roman" w:eastAsia="宋体" w:cs="Times New Roman"/>
              <w:color w:val="auto"/>
              <w:sz w:val="28"/>
              <w:szCs w:val="28"/>
              <w:highlight w:val="none"/>
            </w:rPr>
            <w:fldChar w:fldCharType="begin"/>
          </w:r>
          <w:r>
            <w:rPr>
              <w:rFonts w:hint="default" w:ascii="Times New Roman" w:hAnsi="Times New Roman" w:eastAsia="宋体" w:cs="Times New Roman"/>
              <w:color w:val="auto"/>
              <w:sz w:val="28"/>
              <w:szCs w:val="28"/>
              <w:highlight w:val="none"/>
            </w:rPr>
            <w:instrText xml:space="preserve"> HYPERLINK \l _Toc904346190 </w:instrText>
          </w:r>
          <w:r>
            <w:rPr>
              <w:rFonts w:hint="default" w:ascii="Times New Roman" w:hAnsi="Times New Roman" w:eastAsia="宋体" w:cs="Times New Roman"/>
              <w:color w:val="auto"/>
              <w:sz w:val="28"/>
              <w:szCs w:val="28"/>
              <w:highlight w:val="none"/>
            </w:rPr>
            <w:fldChar w:fldCharType="separate"/>
          </w:r>
          <w:r>
            <w:rPr>
              <w:rFonts w:hint="eastAsia"/>
              <w:color w:val="auto"/>
              <w:sz w:val="28"/>
              <w:szCs w:val="28"/>
              <w:highlight w:val="none"/>
              <w:lang w:val="en-US" w:eastAsia="zh-CN"/>
            </w:rPr>
            <w:t>1.12节能设计</w:t>
          </w:r>
          <w:r>
            <w:rPr>
              <w:color w:val="auto"/>
              <w:sz w:val="28"/>
              <w:szCs w:val="28"/>
              <w:highlight w:val="none"/>
            </w:rPr>
            <w:tab/>
          </w:r>
          <w:r>
            <w:rPr>
              <w:rFonts w:hint="eastAsia"/>
              <w:color w:val="auto"/>
              <w:sz w:val="28"/>
              <w:szCs w:val="28"/>
              <w:highlight w:val="none"/>
              <w:lang w:val="en-US" w:eastAsia="zh-CN"/>
            </w:rPr>
            <w:t>1-</w:t>
          </w:r>
          <w:r>
            <w:rPr>
              <w:color w:val="auto"/>
              <w:sz w:val="28"/>
              <w:szCs w:val="28"/>
              <w:highlight w:val="none"/>
            </w:rPr>
            <w:fldChar w:fldCharType="begin"/>
          </w:r>
          <w:r>
            <w:rPr>
              <w:color w:val="auto"/>
              <w:sz w:val="28"/>
              <w:szCs w:val="28"/>
              <w:highlight w:val="none"/>
            </w:rPr>
            <w:instrText xml:space="preserve"> PAGEREF _Toc904346190 </w:instrText>
          </w:r>
          <w:r>
            <w:rPr>
              <w:color w:val="auto"/>
              <w:sz w:val="28"/>
              <w:szCs w:val="28"/>
              <w:highlight w:val="none"/>
            </w:rPr>
            <w:fldChar w:fldCharType="separate"/>
          </w:r>
          <w:r>
            <w:rPr>
              <w:color w:val="auto"/>
              <w:sz w:val="28"/>
              <w:szCs w:val="28"/>
              <w:highlight w:val="none"/>
            </w:rPr>
            <w:t>28</w:t>
          </w:r>
          <w:r>
            <w:rPr>
              <w:color w:val="auto"/>
              <w:sz w:val="28"/>
              <w:szCs w:val="28"/>
              <w:highlight w:val="none"/>
            </w:rPr>
            <w:fldChar w:fldCharType="end"/>
          </w:r>
          <w:r>
            <w:rPr>
              <w:rFonts w:hint="default" w:ascii="Times New Roman" w:hAnsi="Times New Roman" w:eastAsia="宋体" w:cs="Times New Roman"/>
              <w:color w:val="auto"/>
              <w:sz w:val="28"/>
              <w:szCs w:val="28"/>
              <w:highlight w:val="none"/>
            </w:rPr>
            <w:fldChar w:fldCharType="end"/>
          </w:r>
        </w:p>
        <w:p>
          <w:pPr>
            <w:pStyle w:val="19"/>
            <w:keepNext w:val="0"/>
            <w:keepLines w:val="0"/>
            <w:pageBreakBefore w:val="0"/>
            <w:widowControl w:val="0"/>
            <w:tabs>
              <w:tab w:val="right" w:leader="dot" w:pos="8333"/>
            </w:tabs>
            <w:kinsoku/>
            <w:wordWrap/>
            <w:overflowPunct/>
            <w:topLinePunct w:val="0"/>
            <w:autoSpaceDE/>
            <w:autoSpaceDN/>
            <w:bidi w:val="0"/>
            <w:adjustRightInd/>
            <w:snapToGrid/>
            <w:ind w:left="0" w:leftChars="0" w:firstLine="0" w:firstLineChars="0"/>
            <w:textAlignment w:val="auto"/>
            <w:rPr>
              <w:color w:val="auto"/>
              <w:sz w:val="28"/>
              <w:szCs w:val="28"/>
              <w:highlight w:val="none"/>
            </w:rPr>
          </w:pPr>
          <w:r>
            <w:rPr>
              <w:rFonts w:hint="default" w:ascii="Times New Roman" w:hAnsi="Times New Roman" w:eastAsia="宋体" w:cs="Times New Roman"/>
              <w:color w:val="auto"/>
              <w:sz w:val="28"/>
              <w:szCs w:val="28"/>
              <w:highlight w:val="none"/>
            </w:rPr>
            <w:fldChar w:fldCharType="begin"/>
          </w:r>
          <w:r>
            <w:rPr>
              <w:rFonts w:hint="default" w:ascii="Times New Roman" w:hAnsi="Times New Roman" w:eastAsia="宋体" w:cs="Times New Roman"/>
              <w:color w:val="auto"/>
              <w:sz w:val="28"/>
              <w:szCs w:val="28"/>
              <w:highlight w:val="none"/>
            </w:rPr>
            <w:instrText xml:space="preserve"> HYPERLINK \l _Toc609792171 </w:instrText>
          </w:r>
          <w:r>
            <w:rPr>
              <w:rFonts w:hint="default" w:ascii="Times New Roman" w:hAnsi="Times New Roman" w:eastAsia="宋体" w:cs="Times New Roman"/>
              <w:color w:val="auto"/>
              <w:sz w:val="28"/>
              <w:szCs w:val="28"/>
              <w:highlight w:val="none"/>
            </w:rPr>
            <w:fldChar w:fldCharType="separate"/>
          </w:r>
          <w:r>
            <w:rPr>
              <w:rFonts w:hint="eastAsia"/>
              <w:color w:val="auto"/>
              <w:sz w:val="28"/>
              <w:szCs w:val="28"/>
              <w:highlight w:val="none"/>
              <w:lang w:val="en-US" w:eastAsia="zh-CN"/>
            </w:rPr>
            <w:t>1.13工程管理</w:t>
          </w:r>
          <w:r>
            <w:rPr>
              <w:color w:val="auto"/>
              <w:sz w:val="28"/>
              <w:szCs w:val="28"/>
              <w:highlight w:val="none"/>
            </w:rPr>
            <w:tab/>
          </w:r>
          <w:r>
            <w:rPr>
              <w:rFonts w:hint="eastAsia"/>
              <w:color w:val="auto"/>
              <w:sz w:val="28"/>
              <w:szCs w:val="28"/>
              <w:highlight w:val="none"/>
              <w:lang w:val="en-US" w:eastAsia="zh-CN"/>
            </w:rPr>
            <w:t>1-</w:t>
          </w:r>
          <w:r>
            <w:rPr>
              <w:color w:val="auto"/>
              <w:sz w:val="28"/>
              <w:szCs w:val="28"/>
              <w:highlight w:val="none"/>
            </w:rPr>
            <w:fldChar w:fldCharType="begin"/>
          </w:r>
          <w:r>
            <w:rPr>
              <w:color w:val="auto"/>
              <w:sz w:val="28"/>
              <w:szCs w:val="28"/>
              <w:highlight w:val="none"/>
            </w:rPr>
            <w:instrText xml:space="preserve"> PAGEREF _Toc609792171 </w:instrText>
          </w:r>
          <w:r>
            <w:rPr>
              <w:color w:val="auto"/>
              <w:sz w:val="28"/>
              <w:szCs w:val="28"/>
              <w:highlight w:val="none"/>
            </w:rPr>
            <w:fldChar w:fldCharType="separate"/>
          </w:r>
          <w:r>
            <w:rPr>
              <w:color w:val="auto"/>
              <w:sz w:val="28"/>
              <w:szCs w:val="28"/>
              <w:highlight w:val="none"/>
            </w:rPr>
            <w:t>28</w:t>
          </w:r>
          <w:r>
            <w:rPr>
              <w:color w:val="auto"/>
              <w:sz w:val="28"/>
              <w:szCs w:val="28"/>
              <w:highlight w:val="none"/>
            </w:rPr>
            <w:fldChar w:fldCharType="end"/>
          </w:r>
          <w:r>
            <w:rPr>
              <w:rFonts w:hint="default" w:ascii="Times New Roman" w:hAnsi="Times New Roman" w:eastAsia="宋体" w:cs="Times New Roman"/>
              <w:color w:val="auto"/>
              <w:sz w:val="28"/>
              <w:szCs w:val="28"/>
              <w:highlight w:val="none"/>
            </w:rPr>
            <w:fldChar w:fldCharType="end"/>
          </w:r>
        </w:p>
        <w:p>
          <w:pPr>
            <w:pStyle w:val="19"/>
            <w:keepNext w:val="0"/>
            <w:keepLines w:val="0"/>
            <w:pageBreakBefore w:val="0"/>
            <w:widowControl w:val="0"/>
            <w:tabs>
              <w:tab w:val="right" w:leader="dot" w:pos="8333"/>
            </w:tabs>
            <w:kinsoku/>
            <w:wordWrap/>
            <w:overflowPunct/>
            <w:topLinePunct w:val="0"/>
            <w:autoSpaceDE/>
            <w:autoSpaceDN/>
            <w:bidi w:val="0"/>
            <w:adjustRightInd/>
            <w:snapToGrid/>
            <w:ind w:left="0" w:leftChars="0" w:firstLine="0" w:firstLineChars="0"/>
            <w:textAlignment w:val="auto"/>
            <w:rPr>
              <w:color w:val="auto"/>
              <w:sz w:val="28"/>
              <w:szCs w:val="28"/>
              <w:highlight w:val="none"/>
            </w:rPr>
          </w:pPr>
          <w:r>
            <w:rPr>
              <w:rFonts w:hint="default" w:ascii="Times New Roman" w:hAnsi="Times New Roman" w:eastAsia="宋体" w:cs="Times New Roman"/>
              <w:color w:val="auto"/>
              <w:sz w:val="28"/>
              <w:szCs w:val="28"/>
              <w:highlight w:val="none"/>
            </w:rPr>
            <w:fldChar w:fldCharType="begin"/>
          </w:r>
          <w:r>
            <w:rPr>
              <w:rFonts w:hint="default" w:ascii="Times New Roman" w:hAnsi="Times New Roman" w:eastAsia="宋体" w:cs="Times New Roman"/>
              <w:color w:val="auto"/>
              <w:sz w:val="28"/>
              <w:szCs w:val="28"/>
              <w:highlight w:val="none"/>
            </w:rPr>
            <w:instrText xml:space="preserve"> HYPERLINK \l _Toc54625141 </w:instrText>
          </w:r>
          <w:r>
            <w:rPr>
              <w:rFonts w:hint="default" w:ascii="Times New Roman" w:hAnsi="Times New Roman" w:eastAsia="宋体" w:cs="Times New Roman"/>
              <w:color w:val="auto"/>
              <w:sz w:val="28"/>
              <w:szCs w:val="28"/>
              <w:highlight w:val="none"/>
            </w:rPr>
            <w:fldChar w:fldCharType="separate"/>
          </w:r>
          <w:r>
            <w:rPr>
              <w:rFonts w:hint="eastAsia"/>
              <w:color w:val="auto"/>
              <w:sz w:val="28"/>
              <w:szCs w:val="28"/>
              <w:highlight w:val="none"/>
              <w:lang w:val="en-US" w:eastAsia="zh-CN"/>
            </w:rPr>
            <w:t>1.14工程信息化</w:t>
          </w:r>
          <w:r>
            <w:rPr>
              <w:color w:val="auto"/>
              <w:sz w:val="28"/>
              <w:szCs w:val="28"/>
              <w:highlight w:val="none"/>
            </w:rPr>
            <w:tab/>
          </w:r>
          <w:r>
            <w:rPr>
              <w:rFonts w:hint="eastAsia"/>
              <w:color w:val="auto"/>
              <w:sz w:val="28"/>
              <w:szCs w:val="28"/>
              <w:highlight w:val="none"/>
              <w:lang w:val="en-US" w:eastAsia="zh-CN"/>
            </w:rPr>
            <w:t>1-</w:t>
          </w:r>
          <w:r>
            <w:rPr>
              <w:color w:val="auto"/>
              <w:sz w:val="28"/>
              <w:szCs w:val="28"/>
              <w:highlight w:val="none"/>
            </w:rPr>
            <w:fldChar w:fldCharType="begin"/>
          </w:r>
          <w:r>
            <w:rPr>
              <w:color w:val="auto"/>
              <w:sz w:val="28"/>
              <w:szCs w:val="28"/>
              <w:highlight w:val="none"/>
            </w:rPr>
            <w:instrText xml:space="preserve"> PAGEREF _Toc54625141 </w:instrText>
          </w:r>
          <w:r>
            <w:rPr>
              <w:color w:val="auto"/>
              <w:sz w:val="28"/>
              <w:szCs w:val="28"/>
              <w:highlight w:val="none"/>
            </w:rPr>
            <w:fldChar w:fldCharType="separate"/>
          </w:r>
          <w:r>
            <w:rPr>
              <w:color w:val="auto"/>
              <w:sz w:val="28"/>
              <w:szCs w:val="28"/>
              <w:highlight w:val="none"/>
            </w:rPr>
            <w:t>30</w:t>
          </w:r>
          <w:r>
            <w:rPr>
              <w:color w:val="auto"/>
              <w:sz w:val="28"/>
              <w:szCs w:val="28"/>
              <w:highlight w:val="none"/>
            </w:rPr>
            <w:fldChar w:fldCharType="end"/>
          </w:r>
          <w:r>
            <w:rPr>
              <w:rFonts w:hint="default" w:ascii="Times New Roman" w:hAnsi="Times New Roman" w:eastAsia="宋体" w:cs="Times New Roman"/>
              <w:color w:val="auto"/>
              <w:sz w:val="28"/>
              <w:szCs w:val="28"/>
              <w:highlight w:val="none"/>
            </w:rPr>
            <w:fldChar w:fldCharType="end"/>
          </w:r>
        </w:p>
        <w:p>
          <w:pPr>
            <w:pStyle w:val="19"/>
            <w:keepNext w:val="0"/>
            <w:keepLines w:val="0"/>
            <w:pageBreakBefore w:val="0"/>
            <w:widowControl w:val="0"/>
            <w:tabs>
              <w:tab w:val="right" w:leader="dot" w:pos="8333"/>
            </w:tabs>
            <w:kinsoku/>
            <w:wordWrap/>
            <w:overflowPunct/>
            <w:topLinePunct w:val="0"/>
            <w:autoSpaceDE/>
            <w:autoSpaceDN/>
            <w:bidi w:val="0"/>
            <w:adjustRightInd/>
            <w:snapToGrid/>
            <w:ind w:left="0" w:leftChars="0" w:firstLine="0" w:firstLineChars="0"/>
            <w:textAlignment w:val="auto"/>
            <w:rPr>
              <w:color w:val="auto"/>
              <w:sz w:val="28"/>
              <w:szCs w:val="28"/>
              <w:highlight w:val="none"/>
            </w:rPr>
          </w:pPr>
          <w:r>
            <w:rPr>
              <w:rFonts w:hint="default" w:ascii="Times New Roman" w:hAnsi="Times New Roman" w:eastAsia="宋体" w:cs="Times New Roman"/>
              <w:color w:val="auto"/>
              <w:sz w:val="28"/>
              <w:szCs w:val="28"/>
              <w:highlight w:val="none"/>
            </w:rPr>
            <w:fldChar w:fldCharType="begin"/>
          </w:r>
          <w:r>
            <w:rPr>
              <w:rFonts w:hint="default" w:ascii="Times New Roman" w:hAnsi="Times New Roman" w:eastAsia="宋体" w:cs="Times New Roman"/>
              <w:color w:val="auto"/>
              <w:sz w:val="28"/>
              <w:szCs w:val="28"/>
              <w:highlight w:val="none"/>
            </w:rPr>
            <w:instrText xml:space="preserve"> HYPERLINK \l _Toc571270099 </w:instrText>
          </w:r>
          <w:r>
            <w:rPr>
              <w:rFonts w:hint="default" w:ascii="Times New Roman" w:hAnsi="Times New Roman" w:eastAsia="宋体" w:cs="Times New Roman"/>
              <w:color w:val="auto"/>
              <w:sz w:val="28"/>
              <w:szCs w:val="28"/>
              <w:highlight w:val="none"/>
            </w:rPr>
            <w:fldChar w:fldCharType="separate"/>
          </w:r>
          <w:r>
            <w:rPr>
              <w:rFonts w:hint="eastAsia"/>
              <w:color w:val="auto"/>
              <w:sz w:val="28"/>
              <w:szCs w:val="28"/>
              <w:highlight w:val="none"/>
              <w:lang w:val="en-US" w:eastAsia="zh-CN"/>
            </w:rPr>
            <w:t>1.15投资概算（单行本）</w:t>
          </w:r>
          <w:r>
            <w:rPr>
              <w:color w:val="auto"/>
              <w:sz w:val="28"/>
              <w:szCs w:val="28"/>
              <w:highlight w:val="none"/>
            </w:rPr>
            <w:tab/>
          </w:r>
          <w:r>
            <w:rPr>
              <w:rFonts w:hint="eastAsia"/>
              <w:color w:val="auto"/>
              <w:sz w:val="28"/>
              <w:szCs w:val="28"/>
              <w:highlight w:val="none"/>
              <w:lang w:val="en-US" w:eastAsia="zh-CN"/>
            </w:rPr>
            <w:t>1-</w:t>
          </w:r>
          <w:r>
            <w:rPr>
              <w:color w:val="auto"/>
              <w:sz w:val="28"/>
              <w:szCs w:val="28"/>
              <w:highlight w:val="none"/>
            </w:rPr>
            <w:fldChar w:fldCharType="begin"/>
          </w:r>
          <w:r>
            <w:rPr>
              <w:color w:val="auto"/>
              <w:sz w:val="28"/>
              <w:szCs w:val="28"/>
              <w:highlight w:val="none"/>
            </w:rPr>
            <w:instrText xml:space="preserve"> PAGEREF _Toc571270099 </w:instrText>
          </w:r>
          <w:r>
            <w:rPr>
              <w:color w:val="auto"/>
              <w:sz w:val="28"/>
              <w:szCs w:val="28"/>
              <w:highlight w:val="none"/>
            </w:rPr>
            <w:fldChar w:fldCharType="separate"/>
          </w:r>
          <w:r>
            <w:rPr>
              <w:color w:val="auto"/>
              <w:sz w:val="28"/>
              <w:szCs w:val="28"/>
              <w:highlight w:val="none"/>
            </w:rPr>
            <w:t>31</w:t>
          </w:r>
          <w:r>
            <w:rPr>
              <w:color w:val="auto"/>
              <w:sz w:val="28"/>
              <w:szCs w:val="28"/>
              <w:highlight w:val="none"/>
            </w:rPr>
            <w:fldChar w:fldCharType="end"/>
          </w:r>
          <w:r>
            <w:rPr>
              <w:rFonts w:hint="default" w:ascii="Times New Roman" w:hAnsi="Times New Roman" w:eastAsia="宋体" w:cs="Times New Roman"/>
              <w:color w:val="auto"/>
              <w:sz w:val="28"/>
              <w:szCs w:val="28"/>
              <w:highlight w:val="none"/>
            </w:rPr>
            <w:fldChar w:fldCharType="end"/>
          </w:r>
        </w:p>
        <w:p>
          <w:pPr>
            <w:pStyle w:val="19"/>
            <w:keepNext w:val="0"/>
            <w:keepLines w:val="0"/>
            <w:pageBreakBefore w:val="0"/>
            <w:widowControl w:val="0"/>
            <w:tabs>
              <w:tab w:val="right" w:leader="dot" w:pos="8333"/>
            </w:tabs>
            <w:kinsoku/>
            <w:wordWrap/>
            <w:overflowPunct/>
            <w:topLinePunct w:val="0"/>
            <w:autoSpaceDE/>
            <w:autoSpaceDN/>
            <w:bidi w:val="0"/>
            <w:adjustRightInd/>
            <w:snapToGrid/>
            <w:ind w:left="0" w:leftChars="0" w:firstLine="0" w:firstLineChars="0"/>
            <w:textAlignment w:val="auto"/>
            <w:rPr>
              <w:color w:val="auto"/>
              <w:sz w:val="28"/>
              <w:szCs w:val="28"/>
              <w:highlight w:val="none"/>
            </w:rPr>
          </w:pPr>
          <w:r>
            <w:rPr>
              <w:rFonts w:hint="default" w:ascii="Times New Roman" w:hAnsi="Times New Roman" w:eastAsia="宋体" w:cs="Times New Roman"/>
              <w:color w:val="auto"/>
              <w:sz w:val="28"/>
              <w:szCs w:val="28"/>
              <w:highlight w:val="none"/>
            </w:rPr>
            <w:fldChar w:fldCharType="begin"/>
          </w:r>
          <w:r>
            <w:rPr>
              <w:rFonts w:hint="default" w:ascii="Times New Roman" w:hAnsi="Times New Roman" w:eastAsia="宋体" w:cs="Times New Roman"/>
              <w:color w:val="auto"/>
              <w:sz w:val="28"/>
              <w:szCs w:val="28"/>
              <w:highlight w:val="none"/>
            </w:rPr>
            <w:instrText xml:space="preserve"> HYPERLINK \l _Toc1694268454 </w:instrText>
          </w:r>
          <w:r>
            <w:rPr>
              <w:rFonts w:hint="default" w:ascii="Times New Roman" w:hAnsi="Times New Roman" w:eastAsia="宋体" w:cs="Times New Roman"/>
              <w:color w:val="auto"/>
              <w:sz w:val="28"/>
              <w:szCs w:val="28"/>
              <w:highlight w:val="none"/>
            </w:rPr>
            <w:fldChar w:fldCharType="separate"/>
          </w:r>
          <w:r>
            <w:rPr>
              <w:rFonts w:hint="eastAsia"/>
              <w:color w:val="auto"/>
              <w:sz w:val="28"/>
              <w:szCs w:val="28"/>
              <w:highlight w:val="none"/>
              <w:lang w:val="en-US" w:eastAsia="zh-CN"/>
            </w:rPr>
            <w:t>1.16经济评价</w:t>
          </w:r>
          <w:r>
            <w:rPr>
              <w:color w:val="auto"/>
              <w:sz w:val="28"/>
              <w:szCs w:val="28"/>
              <w:highlight w:val="none"/>
            </w:rPr>
            <w:tab/>
          </w:r>
          <w:r>
            <w:rPr>
              <w:rFonts w:hint="eastAsia"/>
              <w:color w:val="auto"/>
              <w:sz w:val="28"/>
              <w:szCs w:val="28"/>
              <w:highlight w:val="none"/>
              <w:lang w:val="en-US" w:eastAsia="zh-CN"/>
            </w:rPr>
            <w:t>1-</w:t>
          </w:r>
          <w:r>
            <w:rPr>
              <w:color w:val="auto"/>
              <w:sz w:val="28"/>
              <w:szCs w:val="28"/>
              <w:highlight w:val="none"/>
            </w:rPr>
            <w:fldChar w:fldCharType="begin"/>
          </w:r>
          <w:r>
            <w:rPr>
              <w:color w:val="auto"/>
              <w:sz w:val="28"/>
              <w:szCs w:val="28"/>
              <w:highlight w:val="none"/>
            </w:rPr>
            <w:instrText xml:space="preserve"> PAGEREF _Toc1694268454 </w:instrText>
          </w:r>
          <w:r>
            <w:rPr>
              <w:color w:val="auto"/>
              <w:sz w:val="28"/>
              <w:szCs w:val="28"/>
              <w:highlight w:val="none"/>
            </w:rPr>
            <w:fldChar w:fldCharType="separate"/>
          </w:r>
          <w:r>
            <w:rPr>
              <w:color w:val="auto"/>
              <w:sz w:val="28"/>
              <w:szCs w:val="28"/>
              <w:highlight w:val="none"/>
            </w:rPr>
            <w:t>31</w:t>
          </w:r>
          <w:r>
            <w:rPr>
              <w:color w:val="auto"/>
              <w:sz w:val="28"/>
              <w:szCs w:val="28"/>
              <w:highlight w:val="none"/>
            </w:rPr>
            <w:fldChar w:fldCharType="end"/>
          </w:r>
          <w:r>
            <w:rPr>
              <w:rFonts w:hint="default" w:ascii="Times New Roman" w:hAnsi="Times New Roman" w:eastAsia="宋体" w:cs="Times New Roman"/>
              <w:color w:val="auto"/>
              <w:sz w:val="28"/>
              <w:szCs w:val="28"/>
              <w:highlight w:val="none"/>
            </w:rPr>
            <w:fldChar w:fldCharType="end"/>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color w:val="auto"/>
              <w:highlight w:val="none"/>
            </w:rPr>
          </w:pPr>
          <w:r>
            <w:rPr>
              <w:rFonts w:hint="default" w:ascii="Times New Roman" w:hAnsi="Times New Roman" w:eastAsia="宋体" w:cs="Times New Roman"/>
              <w:color w:val="auto"/>
              <w:szCs w:val="28"/>
              <w:highlight w:val="none"/>
            </w:rPr>
            <w:fldChar w:fldCharType="end"/>
          </w:r>
        </w:p>
      </w:sdtContent>
    </w:sdt>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sz w:val="28"/>
          <w:szCs w:val="28"/>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eastAsia="宋体" w:cs="Times New Roman"/>
          <w:color w:val="auto"/>
          <w:sz w:val="28"/>
          <w:szCs w:val="28"/>
          <w:highlight w:val="none"/>
          <w:lang w:val="en-US" w:eastAsia="zh-CN"/>
        </w:rPr>
      </w:pPr>
      <w:r>
        <w:rPr>
          <w:rFonts w:hint="default" w:ascii="Times New Roman" w:hAnsi="Times New Roman" w:eastAsia="宋体" w:cs="Times New Roman"/>
          <w:color w:val="auto"/>
          <w:sz w:val="28"/>
          <w:szCs w:val="28"/>
          <w:highlight w:val="none"/>
          <w:lang w:val="en-US" w:eastAsia="zh-CN"/>
        </w:rPr>
        <w:t>附表1：洋坑水库除险加固工程概算总表</w:t>
      </w:r>
    </w:p>
    <w:p>
      <w:pPr>
        <w:pStyle w:val="2"/>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eastAsia="宋体" w:cs="Times New Roman"/>
          <w:color w:val="auto"/>
          <w:sz w:val="28"/>
          <w:szCs w:val="24"/>
          <w:highlight w:val="none"/>
          <w:lang w:val="en-US" w:eastAsia="zh-CN"/>
        </w:rPr>
      </w:pPr>
      <w:r>
        <w:rPr>
          <w:rFonts w:hint="default" w:ascii="Times New Roman" w:hAnsi="Times New Roman" w:eastAsia="宋体" w:cs="Times New Roman"/>
          <w:color w:val="auto"/>
          <w:sz w:val="28"/>
          <w:szCs w:val="24"/>
          <w:highlight w:val="none"/>
          <w:lang w:val="en-US" w:eastAsia="zh-CN"/>
        </w:rPr>
        <w:t>附表2：</w:t>
      </w:r>
      <w:r>
        <w:rPr>
          <w:rFonts w:hint="default" w:ascii="Times New Roman" w:hAnsi="Times New Roman" w:eastAsia="宋体" w:cs="Times New Roman"/>
          <w:color w:val="auto"/>
          <w:sz w:val="28"/>
          <w:szCs w:val="28"/>
          <w:highlight w:val="none"/>
          <w:lang w:val="en-US" w:eastAsia="zh-CN"/>
        </w:rPr>
        <w:t>洋坑水库除险加固</w:t>
      </w:r>
      <w:r>
        <w:rPr>
          <w:rFonts w:hint="default" w:ascii="Times New Roman" w:hAnsi="Times New Roman" w:eastAsia="宋体" w:cs="Times New Roman"/>
          <w:color w:val="auto"/>
          <w:sz w:val="28"/>
          <w:szCs w:val="24"/>
          <w:highlight w:val="none"/>
          <w:lang w:val="en-US" w:eastAsia="zh-CN"/>
        </w:rPr>
        <w:t>工程特性表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sz w:val="28"/>
          <w:szCs w:val="28"/>
          <w:highlight w:val="none"/>
          <w:lang w:val="en-US" w:eastAsia="zh-CN"/>
        </w:rPr>
      </w:pPr>
    </w:p>
    <w:p>
      <w:pPr>
        <w:bidi w:val="0"/>
        <w:rPr>
          <w:rFonts w:hint="eastAsia"/>
          <w:color w:val="auto"/>
          <w:highlight w:val="none"/>
          <w:lang w:val="en-US" w:eastAsia="zh-CN"/>
        </w:rPr>
      </w:pPr>
    </w:p>
    <w:p>
      <w:pPr>
        <w:spacing w:line="520" w:lineRule="atLeast"/>
        <w:jc w:val="center"/>
        <w:rPr>
          <w:rFonts w:hint="eastAsia" w:eastAsia="黑体"/>
          <w:b/>
          <w:bCs/>
          <w:color w:val="auto"/>
          <w:sz w:val="30"/>
          <w:szCs w:val="30"/>
          <w:highlight w:val="none"/>
          <w:lang w:val="en-US" w:eastAsia="zh-CN"/>
        </w:rPr>
        <w:sectPr>
          <w:footerReference r:id="rId7" w:type="default"/>
          <w:pgSz w:w="11906" w:h="16838"/>
          <w:pgMar w:top="1440" w:right="1588" w:bottom="1440" w:left="1985" w:header="851" w:footer="992" w:gutter="0"/>
          <w:pgNumType w:fmt="decimal"/>
          <w:cols w:space="720" w:num="1"/>
          <w:docGrid w:linePitch="312" w:charSpace="0"/>
        </w:sectPr>
      </w:pPr>
    </w:p>
    <w:p>
      <w:pPr>
        <w:spacing w:line="520" w:lineRule="atLeast"/>
        <w:jc w:val="center"/>
        <w:rPr>
          <w:rFonts w:hint="eastAsia" w:eastAsia="黑体"/>
          <w:bCs/>
          <w:color w:val="auto"/>
          <w:sz w:val="30"/>
          <w:szCs w:val="30"/>
          <w:highlight w:val="none"/>
          <w:lang w:val="en-US" w:eastAsia="zh-CN"/>
        </w:rPr>
      </w:pPr>
      <w:r>
        <w:rPr>
          <w:rFonts w:hint="eastAsia" w:eastAsia="黑体"/>
          <w:b/>
          <w:bCs/>
          <w:color w:val="auto"/>
          <w:sz w:val="30"/>
          <w:szCs w:val="30"/>
          <w:highlight w:val="none"/>
          <w:lang w:val="en-US" w:eastAsia="zh-CN"/>
        </w:rPr>
        <w:t>1</w:t>
      </w:r>
      <w:r>
        <w:rPr>
          <w:rFonts w:eastAsia="黑体"/>
          <w:bCs/>
          <w:color w:val="auto"/>
          <w:sz w:val="30"/>
          <w:szCs w:val="30"/>
          <w:highlight w:val="none"/>
        </w:rPr>
        <w:t xml:space="preserve">  </w:t>
      </w:r>
      <w:r>
        <w:rPr>
          <w:rFonts w:hint="eastAsia" w:eastAsia="黑体"/>
          <w:bCs/>
          <w:color w:val="auto"/>
          <w:sz w:val="30"/>
          <w:szCs w:val="30"/>
          <w:highlight w:val="none"/>
          <w:lang w:val="en-US" w:eastAsia="zh-CN"/>
        </w:rPr>
        <w:t>综合说明</w:t>
      </w:r>
    </w:p>
    <w:p>
      <w:pPr>
        <w:pStyle w:val="4"/>
        <w:bidi w:val="0"/>
        <w:rPr>
          <w:rFonts w:hint="eastAsia"/>
          <w:color w:val="auto"/>
          <w:highlight w:val="none"/>
          <w:lang w:val="en-US" w:eastAsia="zh-CN"/>
        </w:rPr>
      </w:pPr>
      <w:bookmarkStart w:id="4" w:name="_Toc532841028"/>
      <w:r>
        <w:rPr>
          <w:rFonts w:hint="eastAsia"/>
          <w:color w:val="auto"/>
          <w:highlight w:val="none"/>
          <w:lang w:val="en-US" w:eastAsia="zh-CN"/>
        </w:rPr>
        <w:t>1.1绪言</w:t>
      </w:r>
      <w:bookmarkEnd w:id="4"/>
    </w:p>
    <w:p>
      <w:pPr>
        <w:pStyle w:val="5"/>
        <w:bidi w:val="0"/>
        <w:rPr>
          <w:color w:val="auto"/>
          <w:highlight w:val="none"/>
        </w:rPr>
      </w:pPr>
      <w:r>
        <w:rPr>
          <w:rFonts w:hint="eastAsia"/>
          <w:color w:val="auto"/>
          <w:highlight w:val="none"/>
          <w:lang w:val="en-US" w:eastAsia="zh-CN"/>
        </w:rPr>
        <w:t>1.1.1</w:t>
      </w:r>
      <w:r>
        <w:rPr>
          <w:color w:val="auto"/>
          <w:highlight w:val="none"/>
        </w:rPr>
        <w:t>工程概况</w:t>
      </w:r>
    </w:p>
    <w:p>
      <w:pPr>
        <w:bidi w:val="0"/>
        <w:rPr>
          <w:rFonts w:hint="eastAsia"/>
          <w:color w:val="auto"/>
          <w:highlight w:val="none"/>
        </w:rPr>
      </w:pPr>
      <w:r>
        <w:rPr>
          <w:rFonts w:hint="eastAsia"/>
          <w:color w:val="auto"/>
          <w:sz w:val="24"/>
          <w:highlight w:val="none"/>
        </w:rPr>
        <w:t>洋坑水库位于丰顺县建桥镇环西村，距离建桥镇10km，工程于1974年建成投入使用，水库坝址以上集雨面积12.4km</w:t>
      </w:r>
      <w:r>
        <w:rPr>
          <w:rFonts w:hint="eastAsia"/>
          <w:color w:val="auto"/>
          <w:sz w:val="24"/>
          <w:highlight w:val="none"/>
          <w:vertAlign w:val="superscript"/>
        </w:rPr>
        <w:t>2</w:t>
      </w:r>
      <w:r>
        <w:rPr>
          <w:rFonts w:hint="eastAsia"/>
          <w:color w:val="auto"/>
          <w:sz w:val="24"/>
          <w:highlight w:val="none"/>
        </w:rPr>
        <w:t>，干流河长5.5km，平均坡降0.085，</w:t>
      </w:r>
      <w:r>
        <w:rPr>
          <w:rFonts w:hint="eastAsia"/>
          <w:color w:val="auto"/>
          <w:highlight w:val="none"/>
        </w:rPr>
        <w:t>水库是一宗以灌溉为主，结合防洪、发电的</w:t>
      </w:r>
      <w:r>
        <w:rPr>
          <w:rFonts w:hint="eastAsia"/>
          <w:color w:val="auto"/>
          <w:sz w:val="24"/>
          <w:highlight w:val="none"/>
        </w:rPr>
        <w:t>小（1）型</w:t>
      </w:r>
      <w:r>
        <w:rPr>
          <w:rFonts w:hint="eastAsia"/>
          <w:color w:val="auto"/>
          <w:sz w:val="24"/>
          <w:highlight w:val="none"/>
          <w:lang w:eastAsia="zh-CN"/>
        </w:rPr>
        <w:t>水库</w:t>
      </w:r>
      <w:r>
        <w:rPr>
          <w:rFonts w:hint="default" w:ascii="Times New Roman" w:hAnsi="Times New Roman" w:eastAsia="宋体" w:cs="Times New Roman"/>
          <w:color w:val="auto"/>
          <w:kern w:val="2"/>
          <w:sz w:val="24"/>
          <w:szCs w:val="24"/>
          <w:highlight w:val="none"/>
          <w:lang w:val="en-US" w:eastAsia="zh-CN" w:bidi="ar-SA"/>
        </w:rPr>
        <w:t>，</w:t>
      </w:r>
      <w:r>
        <w:rPr>
          <w:rFonts w:hint="eastAsia"/>
          <w:color w:val="auto"/>
          <w:highlight w:val="none"/>
        </w:rPr>
        <w:t>灌溉下游农田面积5100亩，捍卫下游耕地7200亩，人口6.2万人。</w:t>
      </w:r>
    </w:p>
    <w:p>
      <w:pPr>
        <w:bidi w:val="0"/>
        <w:rPr>
          <w:rFonts w:hint="eastAsia"/>
          <w:color w:val="auto"/>
          <w:highlight w:val="none"/>
        </w:rPr>
      </w:pPr>
      <w:r>
        <w:rPr>
          <w:rFonts w:hint="eastAsia"/>
          <w:color w:val="auto"/>
          <w:highlight w:val="none"/>
        </w:rPr>
        <w:t>水库工程建成时原配套有坝后电站装机1×84kw（设计流量0.52m³/s）及利用库后灌溉渠道跌水的郑屋电站装机1×160kw。1991年12月经论证后水库在与之相邻的丰良河主流南溪水（未汇入洋坑水库）上单竹砌位置处筑陂（高1.5m，长15m）拦水，将陂址处水经长5.1km的绕山渠道引至洋坑水库内，该引水入库渠道工程含明渠为5.02km，隧洞一座80m，设计引水过流量0.6m³/s，利用其引水跌差131m配套建电站一座，配套新建的引水渠道跌差电站（洋坑一级电站）设计水头H=125.8m，设计流量Q=0.45m³/s，装机容量N=2×200kw。</w:t>
      </w:r>
    </w:p>
    <w:p>
      <w:pPr>
        <w:pStyle w:val="5"/>
        <w:bidi w:val="0"/>
        <w:rPr>
          <w:rFonts w:hint="default"/>
          <w:color w:val="auto"/>
          <w:highlight w:val="none"/>
          <w:lang w:val="en-US" w:eastAsia="zh-CN"/>
        </w:rPr>
      </w:pPr>
      <w:r>
        <w:rPr>
          <w:rFonts w:hint="eastAsia"/>
          <w:color w:val="auto"/>
          <w:highlight w:val="none"/>
          <w:lang w:val="en-US" w:eastAsia="zh-CN"/>
        </w:rPr>
        <w:t>1.1.2</w:t>
      </w:r>
      <w:bookmarkStart w:id="5" w:name="_Toc19407"/>
      <w:r>
        <w:rPr>
          <w:rFonts w:hint="eastAsia"/>
          <w:color w:val="auto"/>
          <w:highlight w:val="none"/>
          <w:lang w:val="en-US" w:eastAsia="zh-CN"/>
        </w:rPr>
        <w:t>工程现状及存在问题</w:t>
      </w:r>
      <w:bookmarkEnd w:id="5"/>
    </w:p>
    <w:p>
      <w:pPr>
        <w:bidi w:val="0"/>
        <w:rPr>
          <w:rFonts w:hint="eastAsia"/>
          <w:color w:val="auto"/>
          <w:highlight w:val="none"/>
        </w:rPr>
      </w:pPr>
      <w:r>
        <w:rPr>
          <w:rFonts w:hint="eastAsia"/>
          <w:color w:val="auto"/>
          <w:highlight w:val="none"/>
        </w:rPr>
        <w:t>洋坑水库工程枢纽建筑物包括土坝、溢洪道、输水涵管等。</w:t>
      </w:r>
    </w:p>
    <w:p>
      <w:pPr>
        <w:pStyle w:val="2"/>
        <w:rPr>
          <w:rFonts w:hint="eastAsia" w:eastAsia="宋体"/>
          <w:color w:val="auto"/>
          <w:highlight w:val="none"/>
          <w:lang w:eastAsia="zh-CN"/>
        </w:rPr>
      </w:pPr>
      <w:r>
        <w:rPr>
          <w:rFonts w:hint="eastAsia"/>
          <w:color w:val="auto"/>
          <w:highlight w:val="none"/>
          <w:lang w:eastAsia="zh-CN"/>
        </w:rPr>
        <w:t>（一）土坝</w:t>
      </w:r>
    </w:p>
    <w:p>
      <w:pPr>
        <w:bidi w:val="0"/>
        <w:rPr>
          <w:rFonts w:hint="default" w:ascii="Times New Roman" w:hAnsi="Times New Roman" w:eastAsia="宋体" w:cs="Times New Roman"/>
          <w:color w:val="auto"/>
          <w:sz w:val="24"/>
          <w:highlight w:val="none"/>
          <w:lang w:val="en-US" w:eastAsia="zh-CN"/>
        </w:rPr>
      </w:pPr>
      <w:r>
        <w:rPr>
          <w:rFonts w:hint="default" w:ascii="Times New Roman" w:hAnsi="Times New Roman" w:eastAsia="宋体" w:cs="Times New Roman"/>
          <w:color w:val="auto"/>
          <w:sz w:val="24"/>
          <w:highlight w:val="none"/>
          <w:lang w:val="en-US" w:eastAsia="zh-CN"/>
        </w:rPr>
        <w:t>土坝为均质土坝，坝顶长度168m，坝顶高程231.16（防浪墙顶高程231.70）m，坝顶宽5.0m，最大坝高33.5m。迎水坡坡比为1: 2.70，背水坡坡比分别为1:2.48、1: 2. 58、1:2.80。坝趾设排水棱体，外坡1: 1.50。现场检查没有发现土坝坝体、坝肩有沉陷情况，坝坡稳定。现状坝顶为混凝土路面，路面较为平整；上游现浇混凝土护坡局部存在不平整，混凝土局部有细微裂缝和轻微破损，分缝长有杂草，坝面右侧有蚁穴。下游坝坡草皮护坡、长有较多杂草。反滤排水体坡面较平整，排水棱体坡面密集生长杂草、现场检查大部分块石缝隙已被泥土填堵，影响正常功能发挥。现场没有牛皮胀等不良现象。</w:t>
      </w:r>
    </w:p>
    <w:p>
      <w:pPr>
        <w:pStyle w:val="2"/>
        <w:rPr>
          <w:rFonts w:hint="default"/>
          <w:color w:val="auto"/>
          <w:highlight w:val="none"/>
          <w:lang w:val="en-US" w:eastAsia="zh-CN"/>
        </w:rPr>
      </w:pPr>
      <w:r>
        <w:rPr>
          <w:rFonts w:hint="eastAsia" w:ascii="Times New Roman" w:hAnsi="Times New Roman" w:eastAsia="宋体" w:cs="Times New Roman"/>
          <w:color w:val="auto"/>
          <w:sz w:val="24"/>
          <w:highlight w:val="none"/>
          <w:lang w:val="en-US" w:eastAsia="zh-CN"/>
        </w:rPr>
        <w:t>（二）溢洪道</w:t>
      </w:r>
    </w:p>
    <w:p>
      <w:pPr>
        <w:pStyle w:val="2"/>
        <w:rPr>
          <w:rFonts w:hint="default" w:ascii="Times New Roman" w:hAnsi="Times New Roman" w:eastAsia="宋体" w:cs="Times New Roman"/>
          <w:color w:val="auto"/>
          <w:sz w:val="24"/>
          <w:highlight w:val="none"/>
          <w:lang w:val="en-US" w:eastAsia="zh-CN"/>
        </w:rPr>
      </w:pPr>
      <w:r>
        <w:rPr>
          <w:rFonts w:hint="default" w:ascii="Times New Roman" w:hAnsi="Times New Roman" w:eastAsia="宋体" w:cs="Times New Roman"/>
          <w:color w:val="auto"/>
          <w:sz w:val="24"/>
          <w:highlight w:val="none"/>
          <w:lang w:val="en-US" w:eastAsia="zh-CN"/>
        </w:rPr>
        <w:t>溢洪道位于土坝右坝端，为开敞式无闸控制宽顶堰型。堰顶高程22</w:t>
      </w:r>
      <w:r>
        <w:rPr>
          <w:rFonts w:hint="eastAsia" w:ascii="Times New Roman" w:hAnsi="Times New Roman" w:eastAsia="宋体" w:cs="Times New Roman"/>
          <w:color w:val="auto"/>
          <w:sz w:val="24"/>
          <w:highlight w:val="none"/>
          <w:lang w:val="en-US" w:eastAsia="zh-CN"/>
        </w:rPr>
        <w:t>3.8</w:t>
      </w:r>
      <w:r>
        <w:rPr>
          <w:rFonts w:hint="default" w:ascii="Times New Roman" w:hAnsi="Times New Roman" w:eastAsia="宋体" w:cs="Times New Roman"/>
          <w:color w:val="auto"/>
          <w:sz w:val="24"/>
          <w:highlight w:val="none"/>
          <w:lang w:val="en-US" w:eastAsia="zh-CN"/>
        </w:rPr>
        <w:t>m，总净宽18.0m。进水渠段长67m，渠底未防护，控制段长5m，底板为浆砌石结构面层批砼砂浆护面；控制段后接泄槽段长104m，纵坡1:4，底板为浆砌石结构面层批砼砂浆护面，侧墙为重力式浆砌石结构。泄槽末端接挑流鼻坎，坎顶高程为198.15m。现场检查溢洪道整体外观较好。边墙采用浆砌石砌筑且用砂浆勾缝，局部有砂浆脱落，长有杂草；溢洪道底板为浆砌石结构面层批砼砂浆护面，局部有细微裂缝和表面砂浆脱落破损，长有少量杂草。溢洪道进口为进村公路，无交通桥，泄洪时将切断两侧交通，存在重大安全隐患。</w:t>
      </w:r>
    </w:p>
    <w:p>
      <w:pPr>
        <w:bidi w:val="0"/>
        <w:rPr>
          <w:rFonts w:hint="default"/>
          <w:color w:val="auto"/>
          <w:highlight w:val="none"/>
          <w:lang w:val="en-US" w:eastAsia="zh-CN"/>
        </w:rPr>
      </w:pPr>
      <w:r>
        <w:rPr>
          <w:rFonts w:hint="eastAsia"/>
          <w:color w:val="auto"/>
          <w:highlight w:val="none"/>
          <w:lang w:val="en-US" w:eastAsia="zh-CN"/>
        </w:rPr>
        <w:t>（三）输水涵管</w:t>
      </w:r>
    </w:p>
    <w:p>
      <w:pPr>
        <w:bidi w:val="0"/>
        <w:rPr>
          <w:rFonts w:hint="default"/>
          <w:color w:val="auto"/>
          <w:highlight w:val="none"/>
          <w:lang w:val="en-US" w:eastAsia="zh-CN"/>
        </w:rPr>
      </w:pPr>
      <w:r>
        <w:rPr>
          <w:rFonts w:hint="default"/>
          <w:color w:val="auto"/>
          <w:highlight w:val="none"/>
          <w:lang w:val="en-US" w:eastAsia="zh-CN"/>
        </w:rPr>
        <w:t>输水涵管位于坝体左侧坝端，原为钢筋砼结构圆涵，内径0.7m，水库除险加固采用涵管内套钢管，管径0.62m，管壁厚10mm，涵头进口底高程206.75m，涵管全长160m。涵管出口底高程205.45m，涵头设螺杆式斜拉铸铁闸门控制，配手动15T螺杆式启闭机，启闭机机室设于坝顶，面积3.4×4.2m。涵管通气孔采用直径114mm无缝钢管，管壁厚7mm</w:t>
      </w:r>
      <w:r>
        <w:rPr>
          <w:rFonts w:hint="eastAsia"/>
          <w:color w:val="auto"/>
          <w:highlight w:val="none"/>
          <w:lang w:val="en-US" w:eastAsia="zh-CN"/>
        </w:rPr>
        <w:t>，</w:t>
      </w:r>
      <w:r>
        <w:rPr>
          <w:rFonts w:hint="default"/>
          <w:color w:val="auto"/>
          <w:highlight w:val="none"/>
          <w:lang w:val="en-US" w:eastAsia="zh-CN"/>
        </w:rPr>
        <w:t>2018年6月由丰顺县水务局组织了完工验收。现场检查输水涵管闸门螺杆局部有锈蚀，启闭机支承支座完整，机器状态良好，能正常启闭，涵管无漏水现象。</w:t>
      </w:r>
    </w:p>
    <w:p>
      <w:pPr>
        <w:pStyle w:val="2"/>
        <w:rPr>
          <w:rFonts w:hint="eastAsia" w:ascii="Times New Roman" w:hAnsi="Times New Roman" w:eastAsia="宋体" w:cs="Times New Roman"/>
          <w:color w:val="auto"/>
          <w:sz w:val="24"/>
          <w:highlight w:val="none"/>
          <w:lang w:val="en-US" w:eastAsia="zh-CN"/>
        </w:rPr>
      </w:pPr>
      <w:r>
        <w:rPr>
          <w:rFonts w:hint="eastAsia" w:ascii="Times New Roman" w:hAnsi="Times New Roman" w:eastAsia="宋体" w:cs="Times New Roman"/>
          <w:color w:val="auto"/>
          <w:sz w:val="24"/>
          <w:highlight w:val="none"/>
          <w:lang w:val="en-US" w:eastAsia="zh-CN"/>
        </w:rPr>
        <w:t>水库有防汛砂石物料储备，有管理房。洋坑水库坝顶为混凝土路面，连接村 道，可满足水库防汛交通要求。水库无沉降、位移观测设施、渗流监测设施及雨量计。水位尺刻度数字已脱落，无法读数。</w:t>
      </w:r>
    </w:p>
    <w:p>
      <w:pPr>
        <w:pStyle w:val="5"/>
        <w:bidi w:val="0"/>
        <w:rPr>
          <w:rFonts w:hint="eastAsia"/>
          <w:color w:val="auto"/>
          <w:highlight w:val="none"/>
          <w:lang w:val="en-US" w:eastAsia="zh-CN"/>
        </w:rPr>
      </w:pPr>
      <w:bookmarkStart w:id="6" w:name="_Toc12616"/>
      <w:bookmarkStart w:id="7" w:name="_Toc29859"/>
      <w:r>
        <w:rPr>
          <w:rFonts w:hint="eastAsia"/>
          <w:color w:val="auto"/>
          <w:highlight w:val="none"/>
          <w:lang w:val="en-US" w:eastAsia="zh-CN"/>
        </w:rPr>
        <w:t>1.1.3安全鉴定结论</w:t>
      </w:r>
      <w:bookmarkEnd w:id="6"/>
      <w:r>
        <w:rPr>
          <w:rFonts w:hint="eastAsia"/>
          <w:color w:val="auto"/>
          <w:highlight w:val="none"/>
          <w:lang w:val="en-US" w:eastAsia="zh-CN"/>
        </w:rPr>
        <w:t>及建议</w:t>
      </w:r>
      <w:bookmarkEnd w:id="7"/>
    </w:p>
    <w:p>
      <w:pPr>
        <w:pStyle w:val="6"/>
        <w:bidi w:val="0"/>
        <w:rPr>
          <w:rFonts w:hint="default"/>
          <w:color w:val="auto"/>
          <w:highlight w:val="none"/>
          <w:lang w:val="en-US" w:eastAsia="zh-CN"/>
        </w:rPr>
      </w:pPr>
      <w:r>
        <w:rPr>
          <w:rFonts w:hint="eastAsia"/>
          <w:color w:val="auto"/>
          <w:highlight w:val="none"/>
          <w:lang w:val="en-US" w:eastAsia="zh-CN"/>
        </w:rPr>
        <w:t>1.1.3.1安全鉴定结论</w:t>
      </w:r>
    </w:p>
    <w:p>
      <w:pPr>
        <w:bidi w:val="0"/>
        <w:rPr>
          <w:rFonts w:hint="eastAsia"/>
          <w:color w:val="auto"/>
          <w:highlight w:val="none"/>
          <w:lang w:val="en-US" w:eastAsia="zh-CN"/>
        </w:rPr>
      </w:pPr>
      <w:r>
        <w:rPr>
          <w:rFonts w:hint="eastAsia"/>
          <w:color w:val="auto"/>
          <w:highlight w:val="none"/>
          <w:lang w:val="en-US" w:eastAsia="zh-CN"/>
        </w:rPr>
        <w:t xml:space="preserve">根据各个专项的评价结果，结合《水库大坝安全评价导则》（SL258-2017），对各个专项作出评级如下： </w:t>
      </w:r>
    </w:p>
    <w:p>
      <w:pPr>
        <w:bidi w:val="0"/>
        <w:rPr>
          <w:rFonts w:hint="eastAsia"/>
          <w:color w:val="auto"/>
          <w:highlight w:val="none"/>
          <w:lang w:val="en-US" w:eastAsia="zh-CN"/>
        </w:rPr>
      </w:pPr>
      <w:r>
        <w:rPr>
          <w:rFonts w:hint="eastAsia"/>
          <w:color w:val="auto"/>
          <w:highlight w:val="none"/>
          <w:lang w:val="en-US" w:eastAsia="zh-CN"/>
        </w:rPr>
        <w:t xml:space="preserve">工程质量评价：基本合格 </w:t>
      </w:r>
    </w:p>
    <w:p>
      <w:pPr>
        <w:bidi w:val="0"/>
        <w:rPr>
          <w:rFonts w:hint="eastAsia"/>
          <w:color w:val="auto"/>
          <w:highlight w:val="none"/>
          <w:lang w:val="en-US" w:eastAsia="zh-CN"/>
        </w:rPr>
      </w:pPr>
      <w:r>
        <w:rPr>
          <w:rFonts w:hint="eastAsia"/>
          <w:color w:val="auto"/>
          <w:highlight w:val="none"/>
          <w:lang w:val="en-US" w:eastAsia="zh-CN"/>
        </w:rPr>
        <w:t xml:space="preserve">大坝运行管理评价：不规范 </w:t>
      </w:r>
    </w:p>
    <w:p>
      <w:pPr>
        <w:bidi w:val="0"/>
        <w:rPr>
          <w:rFonts w:hint="eastAsia"/>
          <w:color w:val="auto"/>
          <w:highlight w:val="none"/>
          <w:lang w:val="en-US" w:eastAsia="zh-CN"/>
        </w:rPr>
      </w:pPr>
      <w:r>
        <w:rPr>
          <w:rFonts w:hint="eastAsia"/>
          <w:color w:val="auto"/>
          <w:highlight w:val="none"/>
          <w:lang w:val="en-US" w:eastAsia="zh-CN"/>
        </w:rPr>
        <w:t xml:space="preserve">防洪标准复核：B 级 </w:t>
      </w:r>
    </w:p>
    <w:p>
      <w:pPr>
        <w:bidi w:val="0"/>
        <w:rPr>
          <w:rFonts w:hint="eastAsia"/>
          <w:color w:val="auto"/>
          <w:highlight w:val="none"/>
          <w:lang w:val="en-US" w:eastAsia="zh-CN"/>
        </w:rPr>
      </w:pPr>
      <w:r>
        <w:rPr>
          <w:rFonts w:hint="eastAsia"/>
          <w:color w:val="auto"/>
          <w:highlight w:val="none"/>
          <w:lang w:val="en-US" w:eastAsia="zh-CN"/>
        </w:rPr>
        <w:t xml:space="preserve">渗流安全评价：C 级 </w:t>
      </w:r>
    </w:p>
    <w:p>
      <w:pPr>
        <w:bidi w:val="0"/>
        <w:rPr>
          <w:rFonts w:hint="eastAsia"/>
          <w:color w:val="auto"/>
          <w:highlight w:val="none"/>
          <w:lang w:val="en-US" w:eastAsia="zh-CN"/>
        </w:rPr>
      </w:pPr>
      <w:r>
        <w:rPr>
          <w:rFonts w:hint="eastAsia"/>
          <w:color w:val="auto"/>
          <w:highlight w:val="none"/>
          <w:lang w:val="en-US" w:eastAsia="zh-CN"/>
        </w:rPr>
        <w:t xml:space="preserve">结构安全评价：C 级 </w:t>
      </w:r>
    </w:p>
    <w:p>
      <w:pPr>
        <w:bidi w:val="0"/>
        <w:rPr>
          <w:rFonts w:hint="eastAsia"/>
          <w:color w:val="auto"/>
          <w:highlight w:val="none"/>
          <w:lang w:val="en-US" w:eastAsia="zh-CN"/>
        </w:rPr>
      </w:pPr>
      <w:r>
        <w:rPr>
          <w:rFonts w:hint="eastAsia"/>
          <w:color w:val="auto"/>
          <w:highlight w:val="none"/>
          <w:lang w:val="en-US" w:eastAsia="zh-CN"/>
        </w:rPr>
        <w:t xml:space="preserve">抗震安全复核：B 级 </w:t>
      </w:r>
    </w:p>
    <w:p>
      <w:pPr>
        <w:bidi w:val="0"/>
        <w:rPr>
          <w:rFonts w:hint="eastAsia"/>
          <w:color w:val="auto"/>
          <w:highlight w:val="none"/>
          <w:lang w:val="en-US" w:eastAsia="zh-CN"/>
        </w:rPr>
      </w:pPr>
      <w:r>
        <w:rPr>
          <w:rFonts w:hint="eastAsia"/>
          <w:color w:val="auto"/>
          <w:highlight w:val="none"/>
          <w:lang w:val="en-US" w:eastAsia="zh-CN"/>
        </w:rPr>
        <w:t xml:space="preserve">金属结构安全评价：B 级 </w:t>
      </w:r>
    </w:p>
    <w:p>
      <w:pPr>
        <w:bidi w:val="0"/>
        <w:rPr>
          <w:rFonts w:hint="default"/>
          <w:color w:val="auto"/>
          <w:highlight w:val="none"/>
          <w:lang w:val="en-US" w:eastAsia="zh-CN"/>
        </w:rPr>
      </w:pPr>
      <w:r>
        <w:rPr>
          <w:rFonts w:hint="eastAsia"/>
          <w:color w:val="auto"/>
          <w:highlight w:val="none"/>
          <w:lang w:val="en-US" w:eastAsia="zh-CN"/>
        </w:rPr>
        <w:t>按照《水库大坝安全评价导则》(SL258-2017) 11.6.3条的评价标准，丰顺县洋坑水库评定为三类坝。</w:t>
      </w:r>
    </w:p>
    <w:p>
      <w:pPr>
        <w:pStyle w:val="6"/>
        <w:bidi w:val="0"/>
        <w:rPr>
          <w:rFonts w:hint="default"/>
          <w:color w:val="auto"/>
          <w:highlight w:val="none"/>
          <w:lang w:val="en-US" w:eastAsia="zh-CN"/>
        </w:rPr>
      </w:pPr>
      <w:r>
        <w:rPr>
          <w:rFonts w:hint="eastAsia"/>
          <w:color w:val="auto"/>
          <w:highlight w:val="none"/>
          <w:lang w:val="en-US" w:eastAsia="zh-CN"/>
        </w:rPr>
        <w:t>1.1.3.2安全鉴定建议</w:t>
      </w:r>
    </w:p>
    <w:p>
      <w:pPr>
        <w:bidi w:val="0"/>
        <w:rPr>
          <w:rFonts w:hint="default"/>
          <w:color w:val="auto"/>
          <w:highlight w:val="none"/>
          <w:lang w:val="en-US" w:eastAsia="zh-CN"/>
        </w:rPr>
      </w:pPr>
      <w:r>
        <w:rPr>
          <w:rFonts w:hint="default"/>
          <w:color w:val="auto"/>
          <w:highlight w:val="none"/>
          <w:lang w:val="en-US" w:eastAsia="zh-CN"/>
        </w:rPr>
        <w:t>根据安全评价阶段的地质勘察、现场调查、工程检验、水库建设历史资料的搜集以及分析工作，结合洋坑水库大坝、溢洪道、放水涵等运行现状提出如下建议。</w:t>
      </w:r>
    </w:p>
    <w:p>
      <w:pPr>
        <w:bidi w:val="0"/>
        <w:rPr>
          <w:rFonts w:hint="default"/>
          <w:color w:val="auto"/>
          <w:highlight w:val="none"/>
          <w:lang w:val="en-US" w:eastAsia="zh-CN"/>
        </w:rPr>
      </w:pPr>
      <w:r>
        <w:rPr>
          <w:rFonts w:hint="default"/>
          <w:color w:val="auto"/>
          <w:highlight w:val="none"/>
          <w:lang w:val="en-US" w:eastAsia="zh-CN"/>
        </w:rPr>
        <w:t>（1）本次安全鉴定评定洋坑水库大坝为三类坝，建议尽快对水库进行除险加固。</w:t>
      </w:r>
    </w:p>
    <w:p>
      <w:pPr>
        <w:bidi w:val="0"/>
        <w:rPr>
          <w:rFonts w:hint="default"/>
          <w:color w:val="auto"/>
          <w:highlight w:val="none"/>
          <w:lang w:val="en-US" w:eastAsia="zh-CN"/>
        </w:rPr>
      </w:pPr>
      <w:r>
        <w:rPr>
          <w:rFonts w:hint="default"/>
          <w:color w:val="auto"/>
          <w:highlight w:val="none"/>
          <w:lang w:val="en-US" w:eastAsia="zh-CN"/>
        </w:rPr>
        <w:t>（2）在除险加固前应加强巡查管理，严格控制水位运行。</w:t>
      </w:r>
    </w:p>
    <w:p>
      <w:pPr>
        <w:bidi w:val="0"/>
        <w:rPr>
          <w:rFonts w:hint="default"/>
          <w:color w:val="auto"/>
          <w:highlight w:val="none"/>
          <w:lang w:val="en-US" w:eastAsia="zh-CN"/>
        </w:rPr>
      </w:pPr>
      <w:r>
        <w:rPr>
          <w:rFonts w:hint="default"/>
          <w:color w:val="auto"/>
          <w:highlight w:val="none"/>
          <w:lang w:val="en-US" w:eastAsia="zh-CN"/>
        </w:rPr>
        <w:t>（3）从3个钻孔的注水试验结果分析，大坝填土高程217m以上为弱透水层，217m以下的渗透系数平均1.01E-03cm/s，为中等透水层，达不到规范要求。但大坝多年运行情况未发现过坝体渗漏问题。本次安全鉴定中出于偏安全考虑，大坝的渗透系数采用了大值1.00E-03cm/s，建议在下一阶段按规范补充钻孔进一步摸清大坝情况，根据实际需要进行防渗处理。</w:t>
      </w:r>
    </w:p>
    <w:p>
      <w:pPr>
        <w:bidi w:val="0"/>
        <w:rPr>
          <w:rFonts w:hint="default"/>
          <w:color w:val="auto"/>
          <w:highlight w:val="none"/>
          <w:lang w:val="en-US" w:eastAsia="zh-CN"/>
        </w:rPr>
      </w:pPr>
      <w:r>
        <w:rPr>
          <w:rFonts w:hint="default"/>
          <w:color w:val="auto"/>
          <w:highlight w:val="none"/>
          <w:lang w:val="en-US" w:eastAsia="zh-CN"/>
        </w:rPr>
        <w:t>（4）对大坝上游坝坡现浇混凝土护坡维修，并加强养护；建议修整下游坝坡并种植草皮护坡，加强坝坡养护；拆除重建大坝排水棱体；结合管养区对坝区进行环境整治。</w:t>
      </w:r>
    </w:p>
    <w:p>
      <w:pPr>
        <w:bidi w:val="0"/>
        <w:rPr>
          <w:rFonts w:hint="default"/>
          <w:color w:val="auto"/>
          <w:highlight w:val="none"/>
          <w:lang w:val="en-US" w:eastAsia="zh-CN"/>
        </w:rPr>
      </w:pPr>
      <w:r>
        <w:rPr>
          <w:rFonts w:hint="default"/>
          <w:color w:val="auto"/>
          <w:highlight w:val="none"/>
          <w:lang w:val="en-US" w:eastAsia="zh-CN"/>
        </w:rPr>
        <w:t>（5）建议对溢洪道局部破损进行维修，清除溢洪道边墙及底板杂草，并加强工程养护；采取适当工程措施对控制段两岸及泄槽段右岸挡墙加高，拆除泄槽段左岸挡墙并结合岸坡防护重建，拆除泻槽末端挑流鼻坎改建为底流消能结构，新建溢洪道进口交通桥。</w:t>
      </w:r>
    </w:p>
    <w:p>
      <w:pPr>
        <w:bidi w:val="0"/>
        <w:rPr>
          <w:rFonts w:hint="default"/>
          <w:color w:val="auto"/>
          <w:highlight w:val="none"/>
          <w:lang w:val="en-US" w:eastAsia="zh-CN"/>
        </w:rPr>
      </w:pPr>
      <w:r>
        <w:rPr>
          <w:rFonts w:hint="default"/>
          <w:color w:val="auto"/>
          <w:highlight w:val="none"/>
          <w:lang w:val="en-US" w:eastAsia="zh-CN"/>
        </w:rPr>
        <w:t>（6）建议水库除险加固阶段结合相关加固措施补充淹没分析专题。</w:t>
      </w:r>
    </w:p>
    <w:p>
      <w:pPr>
        <w:bidi w:val="0"/>
        <w:rPr>
          <w:rFonts w:hint="default"/>
          <w:color w:val="auto"/>
          <w:highlight w:val="none"/>
          <w:lang w:val="en-US" w:eastAsia="zh-CN"/>
        </w:rPr>
      </w:pPr>
      <w:r>
        <w:rPr>
          <w:rFonts w:hint="default"/>
          <w:color w:val="auto"/>
          <w:highlight w:val="none"/>
          <w:lang w:val="en-US" w:eastAsia="zh-CN"/>
        </w:rPr>
        <w:t>（7）建议增加完善水库必要的监测设施，对监测资料进行保存和分析。</w:t>
      </w:r>
    </w:p>
    <w:p>
      <w:pPr>
        <w:pStyle w:val="5"/>
        <w:bidi w:val="0"/>
        <w:rPr>
          <w:color w:val="auto"/>
          <w:highlight w:val="none"/>
        </w:rPr>
      </w:pPr>
      <w:r>
        <w:rPr>
          <w:rFonts w:hint="eastAsia"/>
          <w:color w:val="auto"/>
          <w:highlight w:val="none"/>
          <w:lang w:val="en-US" w:eastAsia="zh-CN"/>
        </w:rPr>
        <w:t>1.1.4</w:t>
      </w:r>
      <w:r>
        <w:rPr>
          <w:color w:val="auto"/>
          <w:highlight w:val="none"/>
        </w:rPr>
        <w:t>工程设计施工及加固过程</w:t>
      </w:r>
    </w:p>
    <w:p>
      <w:pPr>
        <w:pStyle w:val="38"/>
        <w:spacing w:line="520" w:lineRule="atLeast"/>
        <w:ind w:firstLine="480"/>
        <w:jc w:val="both"/>
        <w:rPr>
          <w:rFonts w:hint="eastAsia"/>
          <w:color w:val="auto"/>
          <w:highlight w:val="none"/>
        </w:rPr>
      </w:pPr>
      <w:r>
        <w:rPr>
          <w:rFonts w:hint="eastAsia"/>
          <w:color w:val="auto"/>
          <w:highlight w:val="none"/>
        </w:rPr>
        <w:t>洋坑水库于</w:t>
      </w:r>
      <w:r>
        <w:rPr>
          <w:rFonts w:hint="eastAsia"/>
          <w:color w:val="auto"/>
          <w:sz w:val="24"/>
          <w:highlight w:val="none"/>
        </w:rPr>
        <w:t>1974年建成投入使用</w:t>
      </w:r>
      <w:r>
        <w:rPr>
          <w:rFonts w:hint="eastAsia"/>
          <w:color w:val="auto"/>
          <w:sz w:val="24"/>
          <w:highlight w:val="none"/>
          <w:lang w:eastAsia="zh-CN"/>
        </w:rPr>
        <w:t>，</w:t>
      </w:r>
      <w:r>
        <w:rPr>
          <w:rFonts w:hint="eastAsia"/>
          <w:color w:val="auto"/>
          <w:highlight w:val="none"/>
          <w:lang w:val="zh-TW"/>
        </w:rPr>
        <w:t>20</w:t>
      </w:r>
      <w:r>
        <w:rPr>
          <w:rFonts w:hint="eastAsia"/>
          <w:color w:val="auto"/>
          <w:highlight w:val="none"/>
        </w:rPr>
        <w:t>10年11月开始进行除险加固，</w:t>
      </w:r>
      <w:r>
        <w:rPr>
          <w:rFonts w:hint="eastAsia"/>
          <w:color w:val="auto"/>
          <w:highlight w:val="none"/>
          <w:lang w:val="zh-TW"/>
        </w:rPr>
        <w:t>20</w:t>
      </w:r>
      <w:r>
        <w:rPr>
          <w:rFonts w:hint="eastAsia"/>
          <w:color w:val="auto"/>
          <w:highlight w:val="none"/>
        </w:rPr>
        <w:t>11年5月完成大坝加固等项目，其中涵管套管加固项目由于涵管出口段施工影响驻地部队交通且多次协调未征得部队同意而延迟至2017年10月实施。2018年6月由丰顺县水务局组织了完工验收，工程质量等级均为合格。</w:t>
      </w:r>
    </w:p>
    <w:p>
      <w:pPr>
        <w:pStyle w:val="38"/>
        <w:spacing w:line="520" w:lineRule="atLeast"/>
        <w:ind w:firstLine="480"/>
        <w:jc w:val="both"/>
        <w:rPr>
          <w:rFonts w:hint="eastAsia"/>
          <w:color w:val="auto"/>
          <w:highlight w:val="none"/>
          <w:lang w:eastAsia="zh-CN"/>
        </w:rPr>
      </w:pPr>
      <w:r>
        <w:rPr>
          <w:rFonts w:hint="eastAsia"/>
          <w:color w:val="auto"/>
          <w:highlight w:val="none"/>
          <w:lang w:val="en-US" w:eastAsia="zh-CN"/>
        </w:rPr>
        <w:t>2021年12月丰顺县水务局组织对</w:t>
      </w:r>
      <w:r>
        <w:rPr>
          <w:rFonts w:hint="eastAsia"/>
          <w:color w:val="auto"/>
          <w:highlight w:val="none"/>
        </w:rPr>
        <w:t>洋坑水库</w:t>
      </w:r>
      <w:r>
        <w:rPr>
          <w:rFonts w:hint="eastAsia"/>
          <w:color w:val="auto"/>
          <w:highlight w:val="none"/>
          <w:lang w:eastAsia="zh-CN"/>
        </w:rPr>
        <w:t>开展安全鉴定，经鉴定，洋坑水库为三类坝，</w:t>
      </w:r>
      <w:r>
        <w:rPr>
          <w:rFonts w:hint="default"/>
          <w:color w:val="auto"/>
          <w:highlight w:val="none"/>
          <w:lang w:val="en-US" w:eastAsia="zh-CN"/>
        </w:rPr>
        <w:t>建议尽快对水库进行除险加固</w:t>
      </w:r>
      <w:r>
        <w:rPr>
          <w:rFonts w:hint="eastAsia"/>
          <w:color w:val="auto"/>
          <w:highlight w:val="none"/>
          <w:lang w:eastAsia="zh-CN"/>
        </w:rPr>
        <w:t>。</w:t>
      </w:r>
    </w:p>
    <w:p>
      <w:pPr>
        <w:pStyle w:val="38"/>
        <w:spacing w:line="520" w:lineRule="atLeast"/>
        <w:ind w:firstLine="480"/>
        <w:jc w:val="both"/>
        <w:rPr>
          <w:rFonts w:hint="eastAsia"/>
          <w:color w:val="auto"/>
          <w:highlight w:val="none"/>
          <w:lang w:val="en-US" w:eastAsia="zh-CN"/>
        </w:rPr>
      </w:pPr>
      <w:r>
        <w:rPr>
          <w:rFonts w:hint="eastAsia"/>
          <w:color w:val="auto"/>
          <w:highlight w:val="none"/>
          <w:lang w:val="en-US" w:eastAsia="zh-CN"/>
        </w:rPr>
        <w:t>2022年9月丰顺县水务局组织对洋坑水库开展除险加固初步设计工作。</w:t>
      </w:r>
    </w:p>
    <w:p>
      <w:pPr>
        <w:pStyle w:val="38"/>
        <w:spacing w:line="520" w:lineRule="atLeast"/>
        <w:ind w:firstLine="480"/>
        <w:jc w:val="both"/>
        <w:rPr>
          <w:rFonts w:hint="eastAsia"/>
          <w:color w:val="auto"/>
          <w:highlight w:val="none"/>
          <w:lang w:val="en-US" w:eastAsia="zh-CN"/>
        </w:rPr>
      </w:pPr>
      <w:r>
        <w:rPr>
          <w:rFonts w:hint="eastAsia"/>
          <w:color w:val="auto"/>
          <w:highlight w:val="none"/>
          <w:lang w:val="en-US" w:eastAsia="zh-CN"/>
        </w:rPr>
        <w:t>2022年12月丰顺县水务局组织召开洋坑水库除险加固初步设计报告（送审稿）评审会。</w:t>
      </w:r>
    </w:p>
    <w:p>
      <w:pPr>
        <w:pStyle w:val="38"/>
        <w:spacing w:line="520" w:lineRule="atLeast"/>
        <w:ind w:firstLine="480"/>
        <w:jc w:val="both"/>
        <w:rPr>
          <w:rFonts w:hint="default"/>
          <w:color w:val="auto"/>
          <w:highlight w:val="none"/>
          <w:lang w:val="en-US" w:eastAsia="zh-CN"/>
        </w:rPr>
      </w:pPr>
      <w:r>
        <w:rPr>
          <w:rFonts w:hint="eastAsia"/>
          <w:color w:val="auto"/>
          <w:highlight w:val="none"/>
          <w:lang w:val="en-US" w:eastAsia="zh-CN"/>
        </w:rPr>
        <w:t>2023年2月，设计单位提交洋坑水库除险加固初步设计报告（报批稿）。</w:t>
      </w:r>
    </w:p>
    <w:p>
      <w:pPr>
        <w:pStyle w:val="4"/>
        <w:bidi w:val="0"/>
        <w:rPr>
          <w:rFonts w:hint="eastAsia"/>
          <w:color w:val="auto"/>
          <w:highlight w:val="none"/>
          <w:lang w:val="en-US" w:eastAsia="zh-CN"/>
        </w:rPr>
      </w:pPr>
      <w:bookmarkStart w:id="8" w:name="_Toc754446645"/>
      <w:r>
        <w:rPr>
          <w:rFonts w:hint="eastAsia"/>
          <w:color w:val="auto"/>
          <w:highlight w:val="none"/>
          <w:lang w:val="en-US" w:eastAsia="zh-CN"/>
        </w:rPr>
        <w:t>1.2水文</w:t>
      </w:r>
      <w:bookmarkEnd w:id="8"/>
    </w:p>
    <w:p>
      <w:pPr>
        <w:pStyle w:val="5"/>
        <w:bidi w:val="0"/>
        <w:rPr>
          <w:rFonts w:hint="eastAsia"/>
          <w:color w:val="auto"/>
          <w:highlight w:val="none"/>
        </w:rPr>
      </w:pPr>
      <w:bookmarkStart w:id="9" w:name="_Toc16765"/>
      <w:bookmarkStart w:id="10" w:name="_Toc6815"/>
      <w:bookmarkStart w:id="11" w:name="_Toc1542"/>
      <w:bookmarkStart w:id="12" w:name="_Toc192477079"/>
      <w:bookmarkStart w:id="13" w:name="_Toc195418011"/>
      <w:bookmarkStart w:id="14" w:name="_Toc6610"/>
      <w:r>
        <w:rPr>
          <w:rFonts w:hint="eastAsia"/>
          <w:color w:val="auto"/>
          <w:highlight w:val="none"/>
          <w:lang w:val="en-US" w:eastAsia="zh-CN"/>
        </w:rPr>
        <w:t>1.2.1</w:t>
      </w:r>
      <w:r>
        <w:rPr>
          <w:rFonts w:hint="eastAsia"/>
          <w:color w:val="auto"/>
          <w:highlight w:val="none"/>
        </w:rPr>
        <w:t>气象特性</w:t>
      </w:r>
      <w:bookmarkEnd w:id="9"/>
      <w:bookmarkEnd w:id="10"/>
      <w:bookmarkEnd w:id="11"/>
      <w:bookmarkEnd w:id="12"/>
      <w:bookmarkEnd w:id="13"/>
      <w:bookmarkEnd w:id="14"/>
    </w:p>
    <w:p>
      <w:pPr>
        <w:bidi w:val="0"/>
        <w:rPr>
          <w:color w:val="auto"/>
          <w:highlight w:val="none"/>
        </w:rPr>
      </w:pPr>
      <w:r>
        <w:rPr>
          <w:color w:val="auto"/>
          <w:highlight w:val="none"/>
        </w:rPr>
        <w:t>韩江流域地处低纬度，面向热带海洋，受海洋性东南亚季风影响，属南亚热带季风气候。太阳辐射强，日照天数多，常年平均气温较高。夏季盛吹东南风，冬季多吹北风和偏北风。夏长冬暖，降水充沛，降水年际变化较大，年内分配不均。四季主要特点：春季阴雨天气较多，夏季高温湿热，水汽含量大，常带来大雨、暴雨，秋季常有热雷雨、台风雨，冬季寒冷，雨量稀少，霜冻期短。</w:t>
      </w:r>
    </w:p>
    <w:p>
      <w:pPr>
        <w:pStyle w:val="5"/>
        <w:bidi w:val="0"/>
        <w:rPr>
          <w:color w:val="auto"/>
          <w:highlight w:val="none"/>
        </w:rPr>
      </w:pPr>
      <w:bookmarkStart w:id="15" w:name="_Toc31885"/>
      <w:bookmarkStart w:id="16" w:name="_Toc23873"/>
      <w:bookmarkStart w:id="17" w:name="_Toc22037"/>
      <w:bookmarkStart w:id="18" w:name="_Toc20805"/>
      <w:r>
        <w:rPr>
          <w:rFonts w:hint="eastAsia"/>
          <w:color w:val="auto"/>
          <w:highlight w:val="none"/>
          <w:lang w:val="en-US" w:eastAsia="zh-CN"/>
        </w:rPr>
        <w:t>1.2.2</w:t>
      </w:r>
      <w:r>
        <w:rPr>
          <w:color w:val="auto"/>
          <w:highlight w:val="none"/>
        </w:rPr>
        <w:t>水文基本资料</w:t>
      </w:r>
      <w:bookmarkEnd w:id="15"/>
      <w:bookmarkEnd w:id="16"/>
      <w:bookmarkEnd w:id="17"/>
      <w:bookmarkEnd w:id="18"/>
    </w:p>
    <w:p>
      <w:pPr>
        <w:pStyle w:val="38"/>
        <w:spacing w:line="500" w:lineRule="atLeast"/>
        <w:ind w:firstLine="480"/>
        <w:rPr>
          <w:color w:val="auto"/>
          <w:highlight w:val="none"/>
        </w:rPr>
      </w:pPr>
      <w:r>
        <w:rPr>
          <w:color w:val="auto"/>
          <w:highlight w:val="none"/>
        </w:rPr>
        <w:t>韩江流域主要水文（位）站有干流的三河坝（1966年5月改为水位）、</w:t>
      </w:r>
      <w:r>
        <w:rPr>
          <w:color w:val="auto"/>
          <w:spacing w:val="-60"/>
          <w:w w:val="95"/>
          <w:highlight w:val="none"/>
        </w:rPr>
        <w:t>阝留</w:t>
      </w:r>
      <w:r>
        <w:rPr>
          <w:color w:val="auto"/>
          <w:highlight w:val="none"/>
        </w:rPr>
        <w:t>隍（水位）、潮安等站；三河坝和潮安为干流控制站。潮安水文站以下东溪有水头东站，西溪有水头西站，但两站实测系列较短。主要水文（位）站情况如表2</w:t>
      </w:r>
      <w:r>
        <w:rPr>
          <w:rFonts w:hint="eastAsia"/>
          <w:color w:val="auto"/>
          <w:highlight w:val="none"/>
          <w:lang w:val="en-US" w:eastAsia="zh-CN"/>
        </w:rPr>
        <w:t>.1</w:t>
      </w:r>
      <w:r>
        <w:rPr>
          <w:color w:val="auto"/>
          <w:highlight w:val="none"/>
        </w:rPr>
        <w:t>-1所示。</w:t>
      </w:r>
    </w:p>
    <w:p>
      <w:pPr>
        <w:pStyle w:val="41"/>
        <w:spacing w:line="500" w:lineRule="atLeast"/>
        <w:ind w:firstLine="480" w:firstLineChars="200"/>
        <w:rPr>
          <w:rFonts w:hint="eastAsia" w:asciiTheme="minorEastAsia" w:hAnsiTheme="minorEastAsia" w:eastAsiaTheme="minorEastAsia" w:cstheme="minorEastAsia"/>
          <w:b w:val="0"/>
          <w:bCs w:val="0"/>
          <w:color w:val="auto"/>
          <w:highlight w:val="none"/>
        </w:rPr>
      </w:pPr>
      <w:r>
        <w:rPr>
          <w:rFonts w:hint="eastAsia" w:asciiTheme="minorEastAsia" w:hAnsiTheme="minorEastAsia" w:eastAsiaTheme="minorEastAsia" w:cstheme="minorEastAsia"/>
          <w:b w:val="0"/>
          <w:bCs w:val="0"/>
          <w:color w:val="auto"/>
          <w:highlight w:val="none"/>
        </w:rPr>
        <w:t>表</w:t>
      </w:r>
      <w:r>
        <w:rPr>
          <w:rFonts w:hint="eastAsia" w:asciiTheme="minorEastAsia" w:hAnsiTheme="minorEastAsia" w:eastAsiaTheme="minorEastAsia" w:cstheme="minorEastAsia"/>
          <w:b w:val="0"/>
          <w:bCs w:val="0"/>
          <w:color w:val="auto"/>
          <w:highlight w:val="none"/>
          <w:lang w:val="en-US" w:eastAsia="zh-CN"/>
        </w:rPr>
        <w:t>1.2</w:t>
      </w:r>
      <w:r>
        <w:rPr>
          <w:rFonts w:hint="eastAsia" w:asciiTheme="minorEastAsia" w:hAnsiTheme="minorEastAsia" w:eastAsiaTheme="minorEastAsia" w:cstheme="minorEastAsia"/>
          <w:b w:val="0"/>
          <w:bCs w:val="0"/>
          <w:color w:val="auto"/>
          <w:highlight w:val="none"/>
        </w:rPr>
        <w:t>-1</w:t>
      </w:r>
      <w:r>
        <w:rPr>
          <w:rFonts w:hint="eastAsia" w:asciiTheme="minorEastAsia" w:hAnsiTheme="minorEastAsia" w:eastAsiaTheme="minorEastAsia" w:cstheme="minorEastAsia"/>
          <w:b w:val="0"/>
          <w:bCs w:val="0"/>
          <w:color w:val="auto"/>
          <w:highlight w:val="none"/>
          <w:lang w:val="en-US" w:eastAsia="zh-CN"/>
        </w:rPr>
        <w:t xml:space="preserve">  </w:t>
      </w:r>
      <w:r>
        <w:rPr>
          <w:rFonts w:hint="eastAsia" w:asciiTheme="minorEastAsia" w:hAnsiTheme="minorEastAsia" w:eastAsiaTheme="minorEastAsia" w:cstheme="minorEastAsia"/>
          <w:b w:val="0"/>
          <w:bCs w:val="0"/>
          <w:color w:val="auto"/>
          <w:highlight w:val="none"/>
        </w:rPr>
        <w:t>韩江下游主要控制站情况表</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1"/>
        <w:gridCol w:w="1159"/>
        <w:gridCol w:w="1082"/>
        <w:gridCol w:w="1800"/>
        <w:gridCol w:w="32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01" w:type="dxa"/>
            <w:noWrap w:val="0"/>
            <w:vAlign w:val="center"/>
          </w:tcPr>
          <w:p>
            <w:pPr>
              <w:pStyle w:val="42"/>
              <w:rPr>
                <w:color w:val="auto"/>
                <w:highlight w:val="none"/>
              </w:rPr>
            </w:pPr>
            <w:r>
              <w:rPr>
                <w:color w:val="auto"/>
                <w:highlight w:val="none"/>
              </w:rPr>
              <w:t>测站</w:t>
            </w:r>
            <w:r>
              <w:rPr>
                <w:rFonts w:ascii="Times New Roman" w:hAnsi="Times New Roman" w:eastAsia="宋体" w:cs="Times New Roman"/>
                <w:color w:val="auto"/>
                <w:highlight w:val="none"/>
              </w:rPr>
              <w:t>名称</w:t>
            </w:r>
          </w:p>
        </w:tc>
        <w:tc>
          <w:tcPr>
            <w:tcW w:w="1159" w:type="dxa"/>
            <w:noWrap w:val="0"/>
            <w:vAlign w:val="center"/>
          </w:tcPr>
          <w:p>
            <w:pPr>
              <w:pStyle w:val="42"/>
              <w:rPr>
                <w:color w:val="auto"/>
                <w:highlight w:val="none"/>
              </w:rPr>
            </w:pPr>
            <w:r>
              <w:rPr>
                <w:color w:val="auto"/>
                <w:highlight w:val="none"/>
              </w:rPr>
              <w:t>所在河流</w:t>
            </w:r>
          </w:p>
        </w:tc>
        <w:tc>
          <w:tcPr>
            <w:tcW w:w="1082" w:type="dxa"/>
            <w:noWrap w:val="0"/>
            <w:vAlign w:val="center"/>
          </w:tcPr>
          <w:p>
            <w:pPr>
              <w:pStyle w:val="42"/>
              <w:rPr>
                <w:color w:val="auto"/>
                <w:highlight w:val="none"/>
              </w:rPr>
            </w:pPr>
            <w:r>
              <w:rPr>
                <w:color w:val="auto"/>
                <w:highlight w:val="none"/>
              </w:rPr>
              <w:t>集水面积</w:t>
            </w:r>
          </w:p>
          <w:p>
            <w:pPr>
              <w:pStyle w:val="42"/>
              <w:rPr>
                <w:color w:val="auto"/>
                <w:highlight w:val="none"/>
              </w:rPr>
            </w:pPr>
            <w:r>
              <w:rPr>
                <w:color w:val="auto"/>
                <w:highlight w:val="none"/>
              </w:rPr>
              <w:t>（km</w:t>
            </w:r>
            <w:r>
              <w:rPr>
                <w:color w:val="auto"/>
                <w:highlight w:val="none"/>
                <w:vertAlign w:val="superscript"/>
              </w:rPr>
              <w:t>2</w:t>
            </w:r>
            <w:r>
              <w:rPr>
                <w:color w:val="auto"/>
                <w:highlight w:val="none"/>
              </w:rPr>
              <w:t>）</w:t>
            </w:r>
          </w:p>
        </w:tc>
        <w:tc>
          <w:tcPr>
            <w:tcW w:w="1800" w:type="dxa"/>
            <w:noWrap w:val="0"/>
            <w:vAlign w:val="center"/>
          </w:tcPr>
          <w:p>
            <w:pPr>
              <w:pStyle w:val="42"/>
              <w:rPr>
                <w:color w:val="auto"/>
                <w:highlight w:val="none"/>
              </w:rPr>
            </w:pPr>
            <w:r>
              <w:rPr>
                <w:color w:val="auto"/>
                <w:highlight w:val="none"/>
              </w:rPr>
              <w:t>测验年份</w:t>
            </w:r>
          </w:p>
        </w:tc>
        <w:tc>
          <w:tcPr>
            <w:tcW w:w="3223" w:type="dxa"/>
            <w:noWrap w:val="0"/>
            <w:vAlign w:val="center"/>
          </w:tcPr>
          <w:p>
            <w:pPr>
              <w:pStyle w:val="42"/>
              <w:rPr>
                <w:color w:val="auto"/>
                <w:highlight w:val="none"/>
              </w:rPr>
            </w:pPr>
            <w:r>
              <w:rPr>
                <w:color w:val="auto"/>
                <w:highlight w:val="none"/>
              </w:rPr>
              <w:t>测验项目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01" w:type="dxa"/>
            <w:noWrap w:val="0"/>
            <w:vAlign w:val="center"/>
          </w:tcPr>
          <w:p>
            <w:pPr>
              <w:pStyle w:val="42"/>
              <w:rPr>
                <w:color w:val="auto"/>
                <w:highlight w:val="none"/>
              </w:rPr>
            </w:pPr>
            <w:r>
              <w:rPr>
                <w:color w:val="auto"/>
                <w:highlight w:val="none"/>
              </w:rPr>
              <w:t>潮安</w:t>
            </w:r>
          </w:p>
        </w:tc>
        <w:tc>
          <w:tcPr>
            <w:tcW w:w="1159" w:type="dxa"/>
            <w:noWrap w:val="0"/>
            <w:vAlign w:val="center"/>
          </w:tcPr>
          <w:p>
            <w:pPr>
              <w:pStyle w:val="42"/>
              <w:rPr>
                <w:color w:val="auto"/>
                <w:highlight w:val="none"/>
              </w:rPr>
            </w:pPr>
            <w:r>
              <w:rPr>
                <w:color w:val="auto"/>
                <w:highlight w:val="none"/>
              </w:rPr>
              <w:t>韩江干流</w:t>
            </w:r>
          </w:p>
        </w:tc>
        <w:tc>
          <w:tcPr>
            <w:tcW w:w="1082" w:type="dxa"/>
            <w:noWrap w:val="0"/>
            <w:vAlign w:val="center"/>
          </w:tcPr>
          <w:p>
            <w:pPr>
              <w:pStyle w:val="42"/>
              <w:rPr>
                <w:color w:val="auto"/>
                <w:highlight w:val="none"/>
              </w:rPr>
            </w:pPr>
            <w:r>
              <w:rPr>
                <w:color w:val="auto"/>
                <w:highlight w:val="none"/>
              </w:rPr>
              <w:t>29077</w:t>
            </w:r>
          </w:p>
        </w:tc>
        <w:tc>
          <w:tcPr>
            <w:tcW w:w="1800" w:type="dxa"/>
            <w:noWrap w:val="0"/>
            <w:vAlign w:val="center"/>
          </w:tcPr>
          <w:p>
            <w:pPr>
              <w:pStyle w:val="42"/>
              <w:rPr>
                <w:color w:val="auto"/>
                <w:highlight w:val="none"/>
              </w:rPr>
            </w:pPr>
            <w:r>
              <w:rPr>
                <w:color w:val="auto"/>
                <w:highlight w:val="none"/>
              </w:rPr>
              <w:t>1946年10月至今</w:t>
            </w:r>
          </w:p>
        </w:tc>
        <w:tc>
          <w:tcPr>
            <w:tcW w:w="3223" w:type="dxa"/>
            <w:noWrap w:val="0"/>
            <w:vAlign w:val="center"/>
          </w:tcPr>
          <w:p>
            <w:pPr>
              <w:pStyle w:val="42"/>
              <w:rPr>
                <w:color w:val="auto"/>
                <w:highlight w:val="none"/>
              </w:rPr>
            </w:pPr>
            <w:r>
              <w:rPr>
                <w:color w:val="auto"/>
                <w:highlight w:val="none"/>
              </w:rPr>
              <w:t>水位、流量、泥沙、降水、蒸发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01" w:type="dxa"/>
            <w:noWrap w:val="0"/>
            <w:vAlign w:val="center"/>
          </w:tcPr>
          <w:p>
            <w:pPr>
              <w:pStyle w:val="42"/>
              <w:rPr>
                <w:color w:val="auto"/>
                <w:highlight w:val="none"/>
              </w:rPr>
            </w:pPr>
            <w:r>
              <w:rPr>
                <w:color w:val="auto"/>
                <w:spacing w:val="-60"/>
                <w:w w:val="95"/>
                <w:highlight w:val="none"/>
              </w:rPr>
              <w:t>阝留</w:t>
            </w:r>
            <w:r>
              <w:rPr>
                <w:color w:val="auto"/>
                <w:highlight w:val="none"/>
              </w:rPr>
              <w:t>隍</w:t>
            </w:r>
          </w:p>
        </w:tc>
        <w:tc>
          <w:tcPr>
            <w:tcW w:w="1159" w:type="dxa"/>
            <w:noWrap w:val="0"/>
            <w:vAlign w:val="center"/>
          </w:tcPr>
          <w:p>
            <w:pPr>
              <w:pStyle w:val="42"/>
              <w:rPr>
                <w:color w:val="auto"/>
                <w:highlight w:val="none"/>
              </w:rPr>
            </w:pPr>
            <w:r>
              <w:rPr>
                <w:color w:val="auto"/>
                <w:highlight w:val="none"/>
              </w:rPr>
              <w:t>韩江干流</w:t>
            </w:r>
          </w:p>
        </w:tc>
        <w:tc>
          <w:tcPr>
            <w:tcW w:w="1082" w:type="dxa"/>
            <w:noWrap w:val="0"/>
            <w:vAlign w:val="center"/>
          </w:tcPr>
          <w:p>
            <w:pPr>
              <w:pStyle w:val="42"/>
              <w:rPr>
                <w:color w:val="auto"/>
                <w:highlight w:val="none"/>
              </w:rPr>
            </w:pPr>
            <w:r>
              <w:rPr>
                <w:color w:val="auto"/>
                <w:highlight w:val="none"/>
              </w:rPr>
              <w:t>28081</w:t>
            </w:r>
          </w:p>
        </w:tc>
        <w:tc>
          <w:tcPr>
            <w:tcW w:w="1800" w:type="dxa"/>
            <w:noWrap w:val="0"/>
            <w:vAlign w:val="center"/>
          </w:tcPr>
          <w:p>
            <w:pPr>
              <w:pStyle w:val="42"/>
              <w:rPr>
                <w:color w:val="auto"/>
                <w:highlight w:val="none"/>
              </w:rPr>
            </w:pPr>
            <w:r>
              <w:rPr>
                <w:color w:val="auto"/>
                <w:highlight w:val="none"/>
              </w:rPr>
              <w:t>1954年3月至今</w:t>
            </w:r>
          </w:p>
        </w:tc>
        <w:tc>
          <w:tcPr>
            <w:tcW w:w="3223" w:type="dxa"/>
            <w:noWrap w:val="0"/>
            <w:vAlign w:val="center"/>
          </w:tcPr>
          <w:p>
            <w:pPr>
              <w:pStyle w:val="42"/>
              <w:rPr>
                <w:color w:val="auto"/>
                <w:highlight w:val="none"/>
              </w:rPr>
            </w:pPr>
            <w:r>
              <w:rPr>
                <w:color w:val="auto"/>
                <w:highlight w:val="none"/>
              </w:rPr>
              <w:t>水位、降水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01" w:type="dxa"/>
            <w:noWrap w:val="0"/>
            <w:vAlign w:val="center"/>
          </w:tcPr>
          <w:p>
            <w:pPr>
              <w:pStyle w:val="42"/>
              <w:rPr>
                <w:color w:val="auto"/>
                <w:highlight w:val="none"/>
              </w:rPr>
            </w:pPr>
            <w:r>
              <w:rPr>
                <w:color w:val="auto"/>
                <w:highlight w:val="none"/>
              </w:rPr>
              <w:t>三河坝</w:t>
            </w:r>
          </w:p>
        </w:tc>
        <w:tc>
          <w:tcPr>
            <w:tcW w:w="1159" w:type="dxa"/>
            <w:noWrap w:val="0"/>
            <w:vAlign w:val="center"/>
          </w:tcPr>
          <w:p>
            <w:pPr>
              <w:pStyle w:val="42"/>
              <w:rPr>
                <w:color w:val="auto"/>
                <w:highlight w:val="none"/>
              </w:rPr>
            </w:pPr>
            <w:r>
              <w:rPr>
                <w:color w:val="auto"/>
                <w:highlight w:val="none"/>
              </w:rPr>
              <w:t>韩江干流</w:t>
            </w:r>
          </w:p>
        </w:tc>
        <w:tc>
          <w:tcPr>
            <w:tcW w:w="1082" w:type="dxa"/>
            <w:noWrap w:val="0"/>
            <w:vAlign w:val="center"/>
          </w:tcPr>
          <w:p>
            <w:pPr>
              <w:pStyle w:val="42"/>
              <w:rPr>
                <w:color w:val="auto"/>
                <w:highlight w:val="none"/>
              </w:rPr>
            </w:pPr>
            <w:r>
              <w:rPr>
                <w:color w:val="auto"/>
                <w:highlight w:val="none"/>
              </w:rPr>
              <w:t>25737</w:t>
            </w:r>
          </w:p>
        </w:tc>
        <w:tc>
          <w:tcPr>
            <w:tcW w:w="1800" w:type="dxa"/>
            <w:noWrap w:val="0"/>
            <w:vAlign w:val="center"/>
          </w:tcPr>
          <w:p>
            <w:pPr>
              <w:pStyle w:val="42"/>
              <w:rPr>
                <w:color w:val="auto"/>
                <w:highlight w:val="none"/>
              </w:rPr>
            </w:pPr>
            <w:r>
              <w:rPr>
                <w:color w:val="auto"/>
                <w:highlight w:val="none"/>
              </w:rPr>
              <w:t>1947年1月至今</w:t>
            </w:r>
          </w:p>
        </w:tc>
        <w:tc>
          <w:tcPr>
            <w:tcW w:w="3223" w:type="dxa"/>
            <w:noWrap w:val="0"/>
            <w:vAlign w:val="center"/>
          </w:tcPr>
          <w:p>
            <w:pPr>
              <w:pStyle w:val="42"/>
              <w:rPr>
                <w:color w:val="auto"/>
                <w:highlight w:val="none"/>
              </w:rPr>
            </w:pPr>
            <w:r>
              <w:rPr>
                <w:color w:val="auto"/>
                <w:highlight w:val="none"/>
              </w:rPr>
              <w:t>水位、流量（1966年5月止）、降水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01" w:type="dxa"/>
            <w:noWrap w:val="0"/>
            <w:vAlign w:val="center"/>
          </w:tcPr>
          <w:p>
            <w:pPr>
              <w:pStyle w:val="42"/>
              <w:rPr>
                <w:color w:val="auto"/>
                <w:highlight w:val="none"/>
              </w:rPr>
            </w:pPr>
            <w:r>
              <w:rPr>
                <w:color w:val="auto"/>
                <w:highlight w:val="none"/>
              </w:rPr>
              <w:t>水头东</w:t>
            </w:r>
          </w:p>
        </w:tc>
        <w:tc>
          <w:tcPr>
            <w:tcW w:w="1159" w:type="dxa"/>
            <w:noWrap w:val="0"/>
            <w:vAlign w:val="center"/>
          </w:tcPr>
          <w:p>
            <w:pPr>
              <w:pStyle w:val="42"/>
              <w:rPr>
                <w:color w:val="auto"/>
                <w:highlight w:val="none"/>
              </w:rPr>
            </w:pPr>
            <w:r>
              <w:rPr>
                <w:color w:val="auto"/>
                <w:highlight w:val="none"/>
              </w:rPr>
              <w:t>东溪</w:t>
            </w:r>
          </w:p>
        </w:tc>
        <w:tc>
          <w:tcPr>
            <w:tcW w:w="1082" w:type="dxa"/>
            <w:noWrap w:val="0"/>
            <w:vAlign w:val="center"/>
          </w:tcPr>
          <w:p>
            <w:pPr>
              <w:pStyle w:val="42"/>
              <w:rPr>
                <w:color w:val="auto"/>
                <w:highlight w:val="none"/>
              </w:rPr>
            </w:pPr>
            <w:r>
              <w:rPr>
                <w:color w:val="auto"/>
                <w:highlight w:val="none"/>
              </w:rPr>
              <w:t>29804</w:t>
            </w:r>
          </w:p>
        </w:tc>
        <w:tc>
          <w:tcPr>
            <w:tcW w:w="1800" w:type="dxa"/>
            <w:noWrap w:val="0"/>
            <w:vAlign w:val="center"/>
          </w:tcPr>
          <w:p>
            <w:pPr>
              <w:pStyle w:val="42"/>
              <w:rPr>
                <w:color w:val="auto"/>
                <w:highlight w:val="none"/>
              </w:rPr>
            </w:pPr>
            <w:r>
              <w:rPr>
                <w:color w:val="auto"/>
                <w:highlight w:val="none"/>
              </w:rPr>
              <w:t>1972～1981年</w:t>
            </w:r>
          </w:p>
        </w:tc>
        <w:tc>
          <w:tcPr>
            <w:tcW w:w="3223" w:type="dxa"/>
            <w:noWrap w:val="0"/>
            <w:vAlign w:val="center"/>
          </w:tcPr>
          <w:p>
            <w:pPr>
              <w:pStyle w:val="42"/>
              <w:rPr>
                <w:color w:val="auto"/>
                <w:highlight w:val="none"/>
              </w:rPr>
            </w:pPr>
            <w:r>
              <w:rPr>
                <w:color w:val="auto"/>
                <w:highlight w:val="none"/>
              </w:rPr>
              <w:t>水位、流量、泥沙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01" w:type="dxa"/>
            <w:noWrap w:val="0"/>
            <w:vAlign w:val="center"/>
          </w:tcPr>
          <w:p>
            <w:pPr>
              <w:pStyle w:val="42"/>
              <w:rPr>
                <w:color w:val="auto"/>
                <w:highlight w:val="none"/>
              </w:rPr>
            </w:pPr>
            <w:r>
              <w:rPr>
                <w:color w:val="auto"/>
                <w:highlight w:val="none"/>
              </w:rPr>
              <w:t>水头西</w:t>
            </w:r>
          </w:p>
        </w:tc>
        <w:tc>
          <w:tcPr>
            <w:tcW w:w="1159" w:type="dxa"/>
            <w:noWrap w:val="0"/>
            <w:vAlign w:val="center"/>
          </w:tcPr>
          <w:p>
            <w:pPr>
              <w:pStyle w:val="42"/>
              <w:rPr>
                <w:color w:val="auto"/>
                <w:highlight w:val="none"/>
              </w:rPr>
            </w:pPr>
            <w:r>
              <w:rPr>
                <w:color w:val="auto"/>
                <w:highlight w:val="none"/>
              </w:rPr>
              <w:t>西溪</w:t>
            </w:r>
          </w:p>
        </w:tc>
        <w:tc>
          <w:tcPr>
            <w:tcW w:w="1082" w:type="dxa"/>
            <w:noWrap w:val="0"/>
            <w:vAlign w:val="center"/>
          </w:tcPr>
          <w:p>
            <w:pPr>
              <w:pStyle w:val="42"/>
              <w:rPr>
                <w:color w:val="auto"/>
                <w:highlight w:val="none"/>
              </w:rPr>
            </w:pPr>
            <w:r>
              <w:rPr>
                <w:color w:val="auto"/>
                <w:highlight w:val="none"/>
              </w:rPr>
              <w:t>29804</w:t>
            </w:r>
          </w:p>
        </w:tc>
        <w:tc>
          <w:tcPr>
            <w:tcW w:w="1800" w:type="dxa"/>
            <w:noWrap w:val="0"/>
            <w:vAlign w:val="center"/>
          </w:tcPr>
          <w:p>
            <w:pPr>
              <w:pStyle w:val="42"/>
              <w:rPr>
                <w:color w:val="auto"/>
                <w:highlight w:val="none"/>
              </w:rPr>
            </w:pPr>
            <w:r>
              <w:rPr>
                <w:color w:val="auto"/>
                <w:highlight w:val="none"/>
              </w:rPr>
              <w:t>1972～1981年</w:t>
            </w:r>
          </w:p>
        </w:tc>
        <w:tc>
          <w:tcPr>
            <w:tcW w:w="3223" w:type="dxa"/>
            <w:noWrap w:val="0"/>
            <w:vAlign w:val="center"/>
          </w:tcPr>
          <w:p>
            <w:pPr>
              <w:pStyle w:val="42"/>
              <w:rPr>
                <w:color w:val="auto"/>
                <w:highlight w:val="none"/>
              </w:rPr>
            </w:pPr>
            <w:r>
              <w:rPr>
                <w:color w:val="auto"/>
                <w:highlight w:val="none"/>
              </w:rPr>
              <w:t>水位、流量、泥沙</w:t>
            </w:r>
          </w:p>
        </w:tc>
      </w:tr>
    </w:tbl>
    <w:p>
      <w:pPr>
        <w:pStyle w:val="5"/>
        <w:bidi w:val="0"/>
        <w:rPr>
          <w:rFonts w:hint="eastAsia"/>
          <w:color w:val="auto"/>
          <w:highlight w:val="none"/>
        </w:rPr>
      </w:pPr>
      <w:bookmarkStart w:id="19" w:name="_Toc195418013"/>
      <w:bookmarkStart w:id="20" w:name="_Toc25085"/>
      <w:bookmarkStart w:id="21" w:name="_Toc192477085"/>
      <w:bookmarkStart w:id="22" w:name="_Toc7343"/>
      <w:bookmarkStart w:id="23" w:name="_Toc32188"/>
      <w:r>
        <w:rPr>
          <w:rFonts w:hint="eastAsia"/>
          <w:color w:val="auto"/>
          <w:highlight w:val="none"/>
          <w:lang w:val="en-US" w:eastAsia="zh-CN"/>
        </w:rPr>
        <w:t>1.2.3</w:t>
      </w:r>
      <w:r>
        <w:rPr>
          <w:rFonts w:hint="eastAsia"/>
          <w:color w:val="auto"/>
          <w:highlight w:val="none"/>
        </w:rPr>
        <w:t>径流</w:t>
      </w:r>
      <w:bookmarkEnd w:id="19"/>
      <w:bookmarkEnd w:id="20"/>
      <w:bookmarkEnd w:id="21"/>
      <w:bookmarkEnd w:id="22"/>
      <w:bookmarkEnd w:id="23"/>
    </w:p>
    <w:p>
      <w:pPr>
        <w:pStyle w:val="2"/>
        <w:rPr>
          <w:rFonts w:hint="default" w:ascii="Times New Roman" w:hAnsi="Times New Roman" w:eastAsia="宋体" w:cs="Times New Roman"/>
          <w:color w:val="auto"/>
          <w:highlight w:val="none"/>
          <w:lang w:val="en-US" w:eastAsia="zh-CN"/>
        </w:rPr>
      </w:pPr>
      <w:bookmarkStart w:id="24" w:name="_Toc17695"/>
      <w:bookmarkStart w:id="25" w:name="_Toc15366"/>
      <w:r>
        <w:rPr>
          <w:rFonts w:hint="default" w:ascii="Times New Roman" w:hAnsi="Times New Roman" w:eastAsia="宋体" w:cs="Times New Roman"/>
          <w:color w:val="auto"/>
          <w:highlight w:val="none"/>
          <w:lang w:val="en-US" w:eastAsia="zh-CN"/>
        </w:rPr>
        <w:t>洋坑水库属于短缺流量资料地区，降雨量是地表径流的来源，属于雨水补给型，因此地表径流的变化与降雨量基本一致，径流的变化与降水存在明显的对应关系，降雨的时空分布决定了径流在年内、年际及时段上的分配特征，具有年际变化大和年内分配不均匀的特点。利用1991年《广东省水文图集》查得项目区多年平均降雨量为1600mm，Cv值为0.2；多年平均径流深为900mm，Cv=0.3，项目区总集雨面积12.4km</w:t>
      </w:r>
      <w:r>
        <w:rPr>
          <w:rFonts w:hint="default" w:ascii="Times New Roman" w:hAnsi="Times New Roman" w:eastAsia="宋体" w:cs="Times New Roman"/>
          <w:color w:val="auto"/>
          <w:highlight w:val="none"/>
          <w:vertAlign w:val="superscript"/>
          <w:lang w:val="en-US" w:eastAsia="zh-CN"/>
        </w:rPr>
        <w:t>2</w:t>
      </w:r>
      <w:r>
        <w:rPr>
          <w:rFonts w:hint="default" w:ascii="Times New Roman" w:hAnsi="Times New Roman" w:eastAsia="宋体" w:cs="Times New Roman"/>
          <w:color w:val="auto"/>
          <w:highlight w:val="none"/>
          <w:lang w:val="en-US" w:eastAsia="zh-CN"/>
        </w:rPr>
        <w:t>，多年平均年径流量为1116万m</w:t>
      </w:r>
      <w:r>
        <w:rPr>
          <w:rFonts w:hint="default" w:ascii="Times New Roman" w:hAnsi="Times New Roman" w:eastAsia="宋体" w:cs="Times New Roman"/>
          <w:color w:val="auto"/>
          <w:highlight w:val="none"/>
          <w:vertAlign w:val="superscript"/>
          <w:lang w:val="en-US" w:eastAsia="zh-CN"/>
        </w:rPr>
        <w:t>3</w:t>
      </w:r>
      <w:r>
        <w:rPr>
          <w:rFonts w:hint="default" w:ascii="Times New Roman" w:hAnsi="Times New Roman" w:eastAsia="宋体" w:cs="Times New Roman"/>
          <w:color w:val="auto"/>
          <w:highlight w:val="none"/>
          <w:lang w:val="en-US" w:eastAsia="zh-CN"/>
        </w:rPr>
        <w:t>。</w:t>
      </w:r>
      <w:bookmarkEnd w:id="24"/>
      <w:bookmarkEnd w:id="25"/>
    </w:p>
    <w:p>
      <w:pPr>
        <w:pStyle w:val="5"/>
        <w:bidi w:val="0"/>
        <w:rPr>
          <w:rFonts w:hint="eastAsia"/>
          <w:color w:val="auto"/>
          <w:highlight w:val="none"/>
          <w:lang w:val="en-US" w:eastAsia="zh-CN"/>
        </w:rPr>
      </w:pPr>
      <w:r>
        <w:rPr>
          <w:rFonts w:hint="eastAsia"/>
          <w:color w:val="auto"/>
          <w:highlight w:val="none"/>
          <w:lang w:val="en-US" w:eastAsia="zh-CN"/>
        </w:rPr>
        <w:t>1.2.4设计</w:t>
      </w:r>
      <w:r>
        <w:rPr>
          <w:rFonts w:hint="eastAsia"/>
          <w:color w:val="auto"/>
          <w:highlight w:val="none"/>
        </w:rPr>
        <w:t>洪水</w:t>
      </w:r>
      <w:r>
        <w:rPr>
          <w:rFonts w:hint="eastAsia"/>
          <w:color w:val="auto"/>
          <w:highlight w:val="none"/>
          <w:lang w:val="en-US" w:eastAsia="zh-CN"/>
        </w:rPr>
        <w:t>计算</w:t>
      </w:r>
    </w:p>
    <w:p>
      <w:pPr>
        <w:pStyle w:val="6"/>
        <w:bidi w:val="0"/>
        <w:rPr>
          <w:rFonts w:hint="default"/>
          <w:color w:val="auto"/>
          <w:highlight w:val="none"/>
          <w:lang w:val="en-US" w:eastAsia="zh-CN"/>
        </w:rPr>
      </w:pPr>
      <w:r>
        <w:rPr>
          <w:rFonts w:hint="eastAsia"/>
          <w:color w:val="auto"/>
          <w:highlight w:val="none"/>
          <w:lang w:val="en-US" w:eastAsia="zh-CN"/>
        </w:rPr>
        <w:t>1.2.4.1设计标准</w:t>
      </w:r>
    </w:p>
    <w:p>
      <w:pPr>
        <w:rPr>
          <w:rFonts w:hint="default" w:ascii="Times New Roman" w:hAnsi="Times New Roman" w:eastAsia="宋体" w:cs="Times New Roman"/>
          <w:color w:val="auto"/>
          <w:kern w:val="0"/>
          <w:sz w:val="24"/>
          <w:szCs w:val="24"/>
          <w:highlight w:val="none"/>
          <w:lang w:val="en-US" w:eastAsia="zh-CN" w:bidi="ar"/>
        </w:rPr>
      </w:pPr>
      <w:r>
        <w:rPr>
          <w:rFonts w:hint="default" w:ascii="Times New Roman" w:hAnsi="Times New Roman" w:eastAsia="宋体" w:cs="Times New Roman"/>
          <w:color w:val="auto"/>
          <w:kern w:val="0"/>
          <w:sz w:val="24"/>
          <w:szCs w:val="24"/>
          <w:highlight w:val="none"/>
          <w:lang w:val="en-US" w:eastAsia="zh-CN" w:bidi="ar"/>
        </w:rPr>
        <w:t>根据《防洪标准》（GB50201―2014）及《水利水电工程等级划分及洪水标准》（SL252―2017），洋坑水库为Ⅳ等工程，小（1）型水库，主要建筑物为4级，次要建筑物级别为5级，设计洪水标准为50年一遇，校核洪水校准为500年一遇，消能防冲标准为20年一遇。</w:t>
      </w:r>
    </w:p>
    <w:p>
      <w:pPr>
        <w:pStyle w:val="6"/>
        <w:bidi w:val="0"/>
        <w:rPr>
          <w:rFonts w:hint="default"/>
          <w:color w:val="auto"/>
          <w:highlight w:val="none"/>
          <w:lang w:val="en-US" w:eastAsia="zh-CN"/>
        </w:rPr>
      </w:pPr>
      <w:r>
        <w:rPr>
          <w:rFonts w:hint="eastAsia"/>
          <w:color w:val="auto"/>
          <w:highlight w:val="none"/>
          <w:lang w:val="en-US" w:eastAsia="zh-CN"/>
        </w:rPr>
        <w:t>1.2.4.2设计洪水</w:t>
      </w:r>
    </w:p>
    <w:p>
      <w:pPr>
        <w:pStyle w:val="38"/>
        <w:spacing w:line="500" w:lineRule="atLeast"/>
        <w:ind w:firstLine="480"/>
        <w:rPr>
          <w:rFonts w:hint="eastAsia" w:ascii="Times New Roman" w:hAnsi="Times New Roman" w:eastAsia="宋体" w:cs="Times New Roman"/>
          <w:color w:val="auto"/>
          <w:highlight w:val="none"/>
          <w:lang w:eastAsia="zh-CN"/>
        </w:rPr>
      </w:pPr>
      <w:r>
        <w:rPr>
          <w:rFonts w:hint="eastAsia" w:ascii="Times New Roman" w:hAnsi="Times New Roman" w:eastAsia="宋体" w:cs="Times New Roman"/>
          <w:color w:val="auto"/>
          <w:highlight w:val="none"/>
          <w:lang w:eastAsia="zh-CN"/>
        </w:rPr>
        <w:t>经在万分之一图上核实，洋坑水库集雨面积12.4km</w:t>
      </w:r>
      <w:r>
        <w:rPr>
          <w:rFonts w:hint="eastAsia" w:ascii="Times New Roman" w:hAnsi="Times New Roman" w:eastAsia="宋体" w:cs="Times New Roman"/>
          <w:color w:val="auto"/>
          <w:highlight w:val="none"/>
          <w:vertAlign w:val="superscript"/>
          <w:lang w:eastAsia="zh-CN"/>
        </w:rPr>
        <w:t>2</w:t>
      </w:r>
      <w:r>
        <w:rPr>
          <w:rFonts w:hint="eastAsia" w:ascii="Times New Roman" w:hAnsi="Times New Roman" w:eastAsia="宋体" w:cs="Times New Roman"/>
          <w:color w:val="auto"/>
          <w:highlight w:val="none"/>
          <w:lang w:eastAsia="zh-CN"/>
        </w:rPr>
        <w:t>，干流河长5.5km，平均坡降0.085。根据《广东省暴雨径流查算图表使用手册》，水库位于《广东省暴雨径流查算图表》分区的韩江。根据上述分区对应，暴雨、产流、汇流分区入下表</w:t>
      </w:r>
      <w:r>
        <w:rPr>
          <w:rFonts w:hint="eastAsia" w:ascii="Times New Roman" w:hAnsi="Times New Roman" w:eastAsia="宋体" w:cs="Times New Roman"/>
          <w:color w:val="auto"/>
          <w:highlight w:val="none"/>
          <w:lang w:val="en-US" w:eastAsia="zh-CN"/>
        </w:rPr>
        <w:t>1.2</w:t>
      </w:r>
      <w:r>
        <w:rPr>
          <w:rFonts w:ascii="Times New Roman" w:hAnsi="Times New Roman" w:eastAsia="宋体" w:cs="Times New Roman"/>
          <w:color w:val="auto"/>
          <w:highlight w:val="none"/>
        </w:rPr>
        <w:t>-</w:t>
      </w:r>
      <w:r>
        <w:rPr>
          <w:rFonts w:hint="eastAsia" w:ascii="Times New Roman" w:hAnsi="Times New Roman" w:eastAsia="宋体" w:cs="Times New Roman"/>
          <w:color w:val="auto"/>
          <w:highlight w:val="none"/>
          <w:lang w:val="en-US" w:eastAsia="zh-CN"/>
        </w:rPr>
        <w:t>2</w:t>
      </w:r>
      <w:r>
        <w:rPr>
          <w:rFonts w:hint="eastAsia" w:ascii="Times New Roman" w:hAnsi="Times New Roman" w:eastAsia="宋体" w:cs="Times New Roman"/>
          <w:color w:val="auto"/>
          <w:highlight w:val="none"/>
          <w:lang w:eastAsia="zh-CN"/>
        </w:rPr>
        <w:t>。</w:t>
      </w:r>
    </w:p>
    <w:p>
      <w:pPr>
        <w:pStyle w:val="38"/>
        <w:spacing w:line="500" w:lineRule="atLeast"/>
        <w:ind w:firstLine="480"/>
        <w:jc w:val="center"/>
        <w:rPr>
          <w:rFonts w:ascii="Times New Roman" w:hAnsi="Times New Roman" w:eastAsia="宋体" w:cs="Times New Roman"/>
          <w:b/>
          <w:bCs/>
          <w:color w:val="auto"/>
          <w:highlight w:val="none"/>
          <w:lang w:val="en-US" w:eastAsia="zh-CN"/>
        </w:rPr>
      </w:pPr>
      <w:r>
        <w:rPr>
          <w:rFonts w:ascii="Times New Roman" w:hAnsi="Times New Roman" w:eastAsia="宋体" w:cs="Times New Roman"/>
          <w:b w:val="0"/>
          <w:bCs w:val="0"/>
          <w:color w:val="auto"/>
          <w:highlight w:val="none"/>
          <w:lang w:val="en-US" w:eastAsia="zh-CN"/>
        </w:rPr>
        <w:t>表</w:t>
      </w:r>
      <w:r>
        <w:rPr>
          <w:rFonts w:hint="eastAsia" w:ascii="Times New Roman" w:hAnsi="Times New Roman" w:eastAsia="宋体" w:cs="Times New Roman"/>
          <w:b w:val="0"/>
          <w:bCs w:val="0"/>
          <w:color w:val="auto"/>
          <w:highlight w:val="none"/>
          <w:lang w:val="en-US" w:eastAsia="zh-CN"/>
        </w:rPr>
        <w:t>1.2</w:t>
      </w:r>
      <w:r>
        <w:rPr>
          <w:rFonts w:ascii="Times New Roman" w:hAnsi="Times New Roman" w:eastAsia="宋体" w:cs="Times New Roman"/>
          <w:b w:val="0"/>
          <w:bCs w:val="0"/>
          <w:color w:val="auto"/>
          <w:highlight w:val="none"/>
          <w:lang w:val="en-US" w:eastAsia="zh-CN"/>
        </w:rPr>
        <w:t>-</w:t>
      </w:r>
      <w:r>
        <w:rPr>
          <w:rFonts w:hint="eastAsia" w:ascii="Times New Roman" w:hAnsi="Times New Roman" w:eastAsia="宋体" w:cs="Times New Roman"/>
          <w:b w:val="0"/>
          <w:bCs w:val="0"/>
          <w:color w:val="auto"/>
          <w:highlight w:val="none"/>
          <w:lang w:val="en-US" w:eastAsia="zh-CN"/>
        </w:rPr>
        <w:t>2  洋坑水库区间</w:t>
      </w:r>
      <w:r>
        <w:rPr>
          <w:rFonts w:ascii="Times New Roman" w:hAnsi="Times New Roman" w:eastAsia="宋体" w:cs="Times New Roman"/>
          <w:b w:val="0"/>
          <w:bCs w:val="0"/>
          <w:color w:val="auto"/>
          <w:highlight w:val="none"/>
          <w:lang w:val="en-US" w:eastAsia="zh-CN"/>
        </w:rPr>
        <w:t>基本参数表</w:t>
      </w:r>
    </w:p>
    <w:tbl>
      <w:tblPr>
        <w:tblStyle w:val="23"/>
        <w:tblW w:w="492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20"/>
        <w:gridCol w:w="2205"/>
        <w:gridCol w:w="1982"/>
        <w:gridCol w:w="15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2628" w:type="dxa"/>
            <w:noWrap w:val="0"/>
            <w:vAlign w:val="center"/>
          </w:tcPr>
          <w:p>
            <w:pPr>
              <w:widowControl w:val="0"/>
              <w:spacing w:line="240" w:lineRule="auto"/>
              <w:ind w:firstLine="0" w:firstLineChars="0"/>
              <w:jc w:val="center"/>
              <w:rPr>
                <w:rFonts w:ascii="Times New Roman" w:hAnsi="Times New Roman" w:eastAsia="宋体" w:cs="Times New Roman"/>
                <w:bCs/>
                <w:color w:val="auto"/>
                <w:kern w:val="2"/>
                <w:sz w:val="21"/>
                <w:szCs w:val="16"/>
                <w:highlight w:val="none"/>
                <w:lang w:val="en-US" w:eastAsia="zh-CN" w:bidi="ar-SA"/>
              </w:rPr>
            </w:pPr>
            <w:r>
              <w:rPr>
                <w:rFonts w:hint="eastAsia" w:ascii="Times New Roman" w:hAnsi="Times New Roman" w:eastAsia="宋体" w:cs="Times New Roman"/>
                <w:bCs/>
                <w:color w:val="auto"/>
                <w:kern w:val="2"/>
                <w:sz w:val="21"/>
                <w:szCs w:val="16"/>
                <w:highlight w:val="none"/>
                <w:lang w:val="en-US" w:eastAsia="zh-CN" w:bidi="ar-SA"/>
              </w:rPr>
              <w:t>特征</w:t>
            </w:r>
          </w:p>
        </w:tc>
        <w:tc>
          <w:tcPr>
            <w:tcW w:w="2213" w:type="dxa"/>
            <w:noWrap w:val="0"/>
            <w:vAlign w:val="center"/>
          </w:tcPr>
          <w:p>
            <w:pPr>
              <w:widowControl w:val="0"/>
              <w:spacing w:line="240" w:lineRule="auto"/>
              <w:ind w:firstLine="0" w:firstLineChars="0"/>
              <w:jc w:val="center"/>
              <w:rPr>
                <w:rFonts w:ascii="Times New Roman" w:hAnsi="Times New Roman" w:eastAsia="宋体" w:cs="Times New Roman"/>
                <w:bCs/>
                <w:color w:val="auto"/>
                <w:kern w:val="2"/>
                <w:sz w:val="21"/>
                <w:szCs w:val="16"/>
                <w:highlight w:val="none"/>
                <w:lang w:val="en-US" w:eastAsia="zh-CN" w:bidi="ar-SA"/>
              </w:rPr>
            </w:pPr>
            <w:r>
              <w:rPr>
                <w:rFonts w:hint="eastAsia" w:ascii="Times New Roman" w:hAnsi="Times New Roman" w:eastAsia="宋体" w:cs="Times New Roman"/>
                <w:bCs/>
                <w:color w:val="auto"/>
                <w:kern w:val="2"/>
                <w:sz w:val="21"/>
                <w:szCs w:val="16"/>
                <w:highlight w:val="none"/>
                <w:lang w:val="en-US" w:eastAsia="zh-CN" w:bidi="ar-SA"/>
              </w:rPr>
              <w:t>参数</w:t>
            </w:r>
          </w:p>
        </w:tc>
        <w:tc>
          <w:tcPr>
            <w:tcW w:w="1988" w:type="dxa"/>
            <w:noWrap w:val="0"/>
            <w:vAlign w:val="center"/>
          </w:tcPr>
          <w:p>
            <w:pPr>
              <w:widowControl w:val="0"/>
              <w:spacing w:line="240" w:lineRule="auto"/>
              <w:ind w:firstLine="0" w:firstLineChars="0"/>
              <w:jc w:val="center"/>
              <w:rPr>
                <w:rFonts w:ascii="Times New Roman" w:hAnsi="Times New Roman" w:eastAsia="宋体" w:cs="Times New Roman"/>
                <w:bCs/>
                <w:color w:val="auto"/>
                <w:kern w:val="2"/>
                <w:sz w:val="21"/>
                <w:szCs w:val="16"/>
                <w:highlight w:val="none"/>
                <w:lang w:val="en-US" w:eastAsia="zh-CN" w:bidi="ar-SA"/>
              </w:rPr>
            </w:pPr>
            <w:r>
              <w:rPr>
                <w:rFonts w:hint="eastAsia" w:ascii="Times New Roman" w:hAnsi="Times New Roman" w:eastAsia="宋体" w:cs="Times New Roman"/>
                <w:bCs/>
                <w:color w:val="auto"/>
                <w:kern w:val="2"/>
                <w:sz w:val="21"/>
                <w:szCs w:val="16"/>
                <w:highlight w:val="none"/>
                <w:lang w:val="en-US" w:eastAsia="zh-CN" w:bidi="ar-SA"/>
              </w:rPr>
              <w:t>特征</w:t>
            </w:r>
          </w:p>
        </w:tc>
        <w:tc>
          <w:tcPr>
            <w:tcW w:w="1592" w:type="dxa"/>
            <w:noWrap w:val="0"/>
            <w:vAlign w:val="center"/>
          </w:tcPr>
          <w:p>
            <w:pPr>
              <w:widowControl w:val="0"/>
              <w:spacing w:line="240" w:lineRule="auto"/>
              <w:ind w:firstLine="0" w:firstLineChars="0"/>
              <w:jc w:val="center"/>
              <w:rPr>
                <w:rFonts w:ascii="Times New Roman" w:hAnsi="Times New Roman" w:eastAsia="宋体" w:cs="Times New Roman"/>
                <w:bCs/>
                <w:color w:val="auto"/>
                <w:kern w:val="2"/>
                <w:sz w:val="21"/>
                <w:szCs w:val="16"/>
                <w:highlight w:val="none"/>
                <w:lang w:val="en-US" w:eastAsia="zh-CN" w:bidi="ar-SA"/>
              </w:rPr>
            </w:pPr>
            <w:r>
              <w:rPr>
                <w:rFonts w:hint="eastAsia" w:ascii="Times New Roman" w:hAnsi="Times New Roman" w:eastAsia="宋体" w:cs="Times New Roman"/>
                <w:bCs/>
                <w:color w:val="auto"/>
                <w:kern w:val="2"/>
                <w:sz w:val="21"/>
                <w:szCs w:val="16"/>
                <w:highlight w:val="none"/>
                <w:lang w:val="en-US" w:eastAsia="zh-CN" w:bidi="ar-SA"/>
              </w:rPr>
              <w:t>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2628" w:type="dxa"/>
            <w:noWrap w:val="0"/>
            <w:vAlign w:val="center"/>
          </w:tcPr>
          <w:p>
            <w:pPr>
              <w:widowControl w:val="0"/>
              <w:spacing w:line="240" w:lineRule="auto"/>
              <w:ind w:firstLine="0" w:firstLineChars="0"/>
              <w:jc w:val="center"/>
              <w:rPr>
                <w:rFonts w:ascii="Times New Roman" w:hAnsi="Times New Roman" w:eastAsia="宋体" w:cs="Times New Roman"/>
                <w:bCs/>
                <w:color w:val="auto"/>
                <w:kern w:val="2"/>
                <w:sz w:val="21"/>
                <w:szCs w:val="16"/>
                <w:highlight w:val="none"/>
                <w:lang w:val="en-US" w:eastAsia="zh-CN" w:bidi="ar-SA"/>
              </w:rPr>
            </w:pPr>
            <w:r>
              <w:rPr>
                <w:rFonts w:hint="eastAsia" w:ascii="Times New Roman" w:hAnsi="Times New Roman" w:eastAsia="宋体" w:cs="Times New Roman"/>
                <w:bCs/>
                <w:color w:val="auto"/>
                <w:kern w:val="2"/>
                <w:sz w:val="21"/>
                <w:szCs w:val="16"/>
                <w:highlight w:val="none"/>
                <w:lang w:val="en-US" w:eastAsia="zh-CN" w:bidi="ar-SA"/>
              </w:rPr>
              <w:t>集雨面积（</w:t>
            </w:r>
            <w:r>
              <w:rPr>
                <w:rFonts w:ascii="Times New Roman" w:hAnsi="Times New Roman" w:eastAsia="宋体" w:cs="Times New Roman"/>
                <w:bCs/>
                <w:color w:val="auto"/>
                <w:kern w:val="2"/>
                <w:sz w:val="21"/>
                <w:szCs w:val="16"/>
                <w:highlight w:val="none"/>
                <w:lang w:val="en-US" w:eastAsia="zh-CN" w:bidi="ar-SA"/>
              </w:rPr>
              <w:t>km</w:t>
            </w:r>
            <w:r>
              <w:rPr>
                <w:rFonts w:ascii="Times New Roman" w:hAnsi="Times New Roman" w:eastAsia="宋体" w:cs="Times New Roman"/>
                <w:bCs/>
                <w:color w:val="auto"/>
                <w:kern w:val="2"/>
                <w:sz w:val="21"/>
                <w:szCs w:val="16"/>
                <w:highlight w:val="none"/>
                <w:vertAlign w:val="superscript"/>
                <w:lang w:val="en-US" w:eastAsia="zh-CN" w:bidi="ar-SA"/>
              </w:rPr>
              <w:t>2</w:t>
            </w:r>
            <w:r>
              <w:rPr>
                <w:rFonts w:hint="eastAsia" w:ascii="Times New Roman" w:hAnsi="Times New Roman" w:eastAsia="宋体" w:cs="Times New Roman"/>
                <w:bCs/>
                <w:color w:val="auto"/>
                <w:kern w:val="2"/>
                <w:sz w:val="21"/>
                <w:szCs w:val="16"/>
                <w:highlight w:val="none"/>
                <w:lang w:val="en-US" w:eastAsia="zh-CN" w:bidi="ar-SA"/>
              </w:rPr>
              <w:t>）</w:t>
            </w:r>
          </w:p>
        </w:tc>
        <w:tc>
          <w:tcPr>
            <w:tcW w:w="2213" w:type="dxa"/>
            <w:noWrap w:val="0"/>
            <w:vAlign w:val="center"/>
          </w:tcPr>
          <w:p>
            <w:pPr>
              <w:widowControl w:val="0"/>
              <w:spacing w:line="240" w:lineRule="auto"/>
              <w:ind w:firstLine="0" w:firstLineChars="0"/>
              <w:jc w:val="center"/>
              <w:rPr>
                <w:rFonts w:ascii="Times New Roman" w:hAnsi="Times New Roman" w:eastAsia="宋体" w:cs="Times New Roman"/>
                <w:bCs/>
                <w:color w:val="auto"/>
                <w:kern w:val="2"/>
                <w:sz w:val="21"/>
                <w:szCs w:val="16"/>
                <w:highlight w:val="none"/>
                <w:lang w:val="en-US" w:eastAsia="zh-CN" w:bidi="ar-SA"/>
              </w:rPr>
            </w:pPr>
            <w:r>
              <w:rPr>
                <w:rFonts w:hint="eastAsia" w:ascii="Times New Roman" w:hAnsi="Times New Roman" w:eastAsia="宋体" w:cs="Times New Roman"/>
                <w:bCs/>
                <w:color w:val="auto"/>
                <w:kern w:val="2"/>
                <w:sz w:val="21"/>
                <w:szCs w:val="16"/>
                <w:highlight w:val="none"/>
                <w:lang w:val="en-US" w:eastAsia="zh-CN" w:bidi="ar-SA"/>
              </w:rPr>
              <w:t>12.4</w:t>
            </w:r>
          </w:p>
        </w:tc>
        <w:tc>
          <w:tcPr>
            <w:tcW w:w="1988" w:type="dxa"/>
            <w:noWrap w:val="0"/>
            <w:vAlign w:val="center"/>
          </w:tcPr>
          <w:p>
            <w:pPr>
              <w:widowControl w:val="0"/>
              <w:spacing w:line="240" w:lineRule="auto"/>
              <w:ind w:firstLine="0" w:firstLineChars="0"/>
              <w:jc w:val="center"/>
              <w:rPr>
                <w:rFonts w:ascii="Times New Roman" w:hAnsi="Times New Roman" w:eastAsia="宋体" w:cs="Times New Roman"/>
                <w:bCs/>
                <w:color w:val="auto"/>
                <w:kern w:val="2"/>
                <w:sz w:val="21"/>
                <w:szCs w:val="16"/>
                <w:highlight w:val="none"/>
                <w:lang w:val="en-US" w:eastAsia="zh-CN" w:bidi="ar-SA"/>
              </w:rPr>
            </w:pPr>
            <w:r>
              <w:rPr>
                <w:rFonts w:ascii="Times New Roman" w:hAnsi="Times New Roman" w:eastAsia="宋体" w:cs="Times New Roman"/>
                <w:bCs/>
                <w:color w:val="auto"/>
                <w:kern w:val="2"/>
                <w:sz w:val="21"/>
                <w:szCs w:val="16"/>
                <w:highlight w:val="none"/>
                <w:lang w:val="en-US" w:eastAsia="zh-CN" w:bidi="ar-SA"/>
              </w:rPr>
              <w:t>m</w:t>
            </w:r>
            <w:r>
              <w:rPr>
                <w:rFonts w:ascii="Times New Roman" w:hAnsi="Times New Roman" w:eastAsia="宋体" w:cs="Times New Roman"/>
                <w:bCs/>
                <w:color w:val="auto"/>
                <w:kern w:val="2"/>
                <w:sz w:val="21"/>
                <w:szCs w:val="16"/>
                <w:highlight w:val="none"/>
                <w:vertAlign w:val="subscript"/>
                <w:lang w:val="en-US" w:eastAsia="zh-CN" w:bidi="ar-SA"/>
              </w:rPr>
              <w:t>1</w:t>
            </w:r>
            <w:r>
              <w:rPr>
                <w:rFonts w:hint="eastAsia" w:ascii="Times New Roman" w:hAnsi="Times New Roman" w:eastAsia="宋体" w:cs="Times New Roman"/>
                <w:bCs/>
                <w:color w:val="auto"/>
                <w:kern w:val="2"/>
                <w:sz w:val="21"/>
                <w:szCs w:val="16"/>
                <w:highlight w:val="none"/>
                <w:lang w:val="en-US" w:eastAsia="zh-CN" w:bidi="ar-SA"/>
              </w:rPr>
              <w:t>～</w:t>
            </w:r>
            <w:r>
              <w:rPr>
                <w:rFonts w:ascii="Times New Roman" w:hAnsi="Times New Roman" w:eastAsia="宋体" w:cs="Times New Roman"/>
                <w:bCs/>
                <w:color w:val="auto"/>
                <w:kern w:val="2"/>
                <w:sz w:val="21"/>
                <w:szCs w:val="16"/>
                <w:highlight w:val="none"/>
                <w:lang w:val="en-US" w:eastAsia="zh-CN" w:bidi="ar-SA"/>
              </w:rPr>
              <w:t>θ</w:t>
            </w:r>
          </w:p>
        </w:tc>
        <w:tc>
          <w:tcPr>
            <w:tcW w:w="1592" w:type="dxa"/>
            <w:noWrap w:val="0"/>
            <w:vAlign w:val="center"/>
          </w:tcPr>
          <w:p>
            <w:pPr>
              <w:widowControl w:val="0"/>
              <w:spacing w:line="240" w:lineRule="auto"/>
              <w:ind w:firstLine="0" w:firstLineChars="0"/>
              <w:jc w:val="center"/>
              <w:rPr>
                <w:rFonts w:ascii="Times New Roman" w:hAnsi="Times New Roman" w:eastAsia="宋体" w:cs="Times New Roman"/>
                <w:bCs/>
                <w:color w:val="auto"/>
                <w:kern w:val="2"/>
                <w:sz w:val="21"/>
                <w:szCs w:val="16"/>
                <w:highlight w:val="none"/>
                <w:lang w:val="en-US" w:eastAsia="zh-CN" w:bidi="ar-SA"/>
              </w:rPr>
            </w:pPr>
            <w:r>
              <w:rPr>
                <w:rFonts w:ascii="Times New Roman" w:hAnsi="Times New Roman" w:eastAsia="宋体" w:cs="Times New Roman"/>
                <w:bCs/>
                <w:color w:val="auto"/>
                <w:kern w:val="2"/>
                <w:sz w:val="21"/>
                <w:szCs w:val="16"/>
                <w:highlight w:val="none"/>
                <w:lang w:val="en-US" w:eastAsia="zh-CN" w:bidi="ar-SA"/>
              </w:rPr>
              <w:t>B</w:t>
            </w:r>
            <w:r>
              <w:rPr>
                <w:rFonts w:hint="eastAsia" w:ascii="Times New Roman" w:hAnsi="Times New Roman" w:eastAsia="宋体" w:cs="Times New Roman"/>
                <w:bCs/>
                <w:color w:val="auto"/>
                <w:kern w:val="2"/>
                <w:sz w:val="21"/>
                <w:szCs w:val="16"/>
                <w:highlight w:val="none"/>
                <w:lang w:val="en-US" w:eastAsia="zh-CN" w:bidi="ar-SA"/>
              </w:rPr>
              <w:t>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2628" w:type="dxa"/>
            <w:noWrap w:val="0"/>
            <w:vAlign w:val="center"/>
          </w:tcPr>
          <w:p>
            <w:pPr>
              <w:widowControl w:val="0"/>
              <w:spacing w:line="240" w:lineRule="auto"/>
              <w:ind w:firstLine="0" w:firstLineChars="0"/>
              <w:jc w:val="center"/>
              <w:rPr>
                <w:rFonts w:ascii="Times New Roman" w:hAnsi="Times New Roman" w:eastAsia="宋体" w:cs="Times New Roman"/>
                <w:bCs/>
                <w:color w:val="auto"/>
                <w:kern w:val="2"/>
                <w:sz w:val="21"/>
                <w:szCs w:val="16"/>
                <w:highlight w:val="none"/>
                <w:lang w:val="en-US" w:eastAsia="zh-CN" w:bidi="ar-SA"/>
              </w:rPr>
            </w:pPr>
            <w:r>
              <w:rPr>
                <w:rFonts w:hint="eastAsia" w:ascii="Times New Roman" w:hAnsi="Times New Roman" w:eastAsia="宋体" w:cs="Times New Roman"/>
                <w:bCs/>
                <w:color w:val="auto"/>
                <w:kern w:val="2"/>
                <w:sz w:val="21"/>
                <w:szCs w:val="16"/>
                <w:highlight w:val="none"/>
                <w:lang w:val="en-US" w:eastAsia="zh-CN" w:bidi="ar-SA"/>
              </w:rPr>
              <w:t>河长（</w:t>
            </w:r>
            <w:r>
              <w:rPr>
                <w:rFonts w:ascii="Times New Roman" w:hAnsi="Times New Roman" w:eastAsia="宋体" w:cs="Times New Roman"/>
                <w:bCs/>
                <w:color w:val="auto"/>
                <w:kern w:val="2"/>
                <w:sz w:val="21"/>
                <w:szCs w:val="16"/>
                <w:highlight w:val="none"/>
                <w:lang w:val="en-US" w:eastAsia="zh-CN" w:bidi="ar-SA"/>
              </w:rPr>
              <w:t>Km</w:t>
            </w:r>
            <w:r>
              <w:rPr>
                <w:rFonts w:hint="eastAsia" w:ascii="Times New Roman" w:hAnsi="Times New Roman" w:eastAsia="宋体" w:cs="Times New Roman"/>
                <w:bCs/>
                <w:color w:val="auto"/>
                <w:kern w:val="2"/>
                <w:sz w:val="21"/>
                <w:szCs w:val="16"/>
                <w:highlight w:val="none"/>
                <w:lang w:val="en-US" w:eastAsia="zh-CN" w:bidi="ar-SA"/>
              </w:rPr>
              <w:t>）</w:t>
            </w:r>
          </w:p>
        </w:tc>
        <w:tc>
          <w:tcPr>
            <w:tcW w:w="2213" w:type="dxa"/>
            <w:noWrap w:val="0"/>
            <w:vAlign w:val="center"/>
          </w:tcPr>
          <w:p>
            <w:pPr>
              <w:widowControl w:val="0"/>
              <w:spacing w:line="240" w:lineRule="auto"/>
              <w:ind w:firstLine="0" w:firstLineChars="0"/>
              <w:jc w:val="center"/>
              <w:rPr>
                <w:rFonts w:ascii="Times New Roman" w:hAnsi="Times New Roman" w:eastAsia="宋体" w:cs="Times New Roman"/>
                <w:bCs/>
                <w:color w:val="auto"/>
                <w:kern w:val="2"/>
                <w:sz w:val="21"/>
                <w:szCs w:val="16"/>
                <w:highlight w:val="none"/>
                <w:lang w:val="en-US" w:eastAsia="zh-CN" w:bidi="ar-SA"/>
              </w:rPr>
            </w:pPr>
            <w:r>
              <w:rPr>
                <w:rFonts w:hint="eastAsia" w:ascii="Times New Roman" w:hAnsi="Times New Roman" w:eastAsia="宋体" w:cs="Times New Roman"/>
                <w:bCs/>
                <w:color w:val="auto"/>
                <w:kern w:val="2"/>
                <w:sz w:val="21"/>
                <w:szCs w:val="16"/>
                <w:highlight w:val="none"/>
                <w:lang w:val="en-US" w:eastAsia="zh-CN" w:bidi="ar-SA"/>
              </w:rPr>
              <w:t>5.5</w:t>
            </w:r>
          </w:p>
        </w:tc>
        <w:tc>
          <w:tcPr>
            <w:tcW w:w="1988" w:type="dxa"/>
            <w:noWrap w:val="0"/>
            <w:vAlign w:val="center"/>
          </w:tcPr>
          <w:p>
            <w:pPr>
              <w:widowControl w:val="0"/>
              <w:spacing w:line="240" w:lineRule="auto"/>
              <w:ind w:firstLine="0" w:firstLineChars="0"/>
              <w:jc w:val="center"/>
              <w:rPr>
                <w:rFonts w:ascii="Times New Roman" w:hAnsi="Times New Roman" w:eastAsia="宋体" w:cs="Times New Roman"/>
                <w:bCs/>
                <w:color w:val="auto"/>
                <w:kern w:val="2"/>
                <w:sz w:val="21"/>
                <w:szCs w:val="16"/>
                <w:highlight w:val="none"/>
                <w:lang w:val="en-US" w:eastAsia="zh-CN" w:bidi="ar-SA"/>
              </w:rPr>
            </w:pPr>
            <w:r>
              <w:rPr>
                <w:rFonts w:ascii="Times New Roman" w:hAnsi="Times New Roman" w:eastAsia="宋体" w:cs="Times New Roman"/>
                <w:bCs/>
                <w:color w:val="auto"/>
                <w:kern w:val="2"/>
                <w:sz w:val="21"/>
                <w:szCs w:val="16"/>
                <w:highlight w:val="none"/>
                <w:lang w:val="en-US" w:eastAsia="zh-CN" w:bidi="ar-SA"/>
              </w:rPr>
              <w:t>ui</w:t>
            </w:r>
            <w:r>
              <w:rPr>
                <w:rFonts w:hint="eastAsia" w:ascii="Times New Roman" w:hAnsi="Times New Roman" w:eastAsia="宋体" w:cs="Times New Roman"/>
                <w:bCs/>
                <w:color w:val="auto"/>
                <w:kern w:val="2"/>
                <w:sz w:val="21"/>
                <w:szCs w:val="16"/>
                <w:highlight w:val="none"/>
                <w:lang w:val="en-US" w:eastAsia="zh-CN" w:bidi="ar-SA"/>
              </w:rPr>
              <w:t>～</w:t>
            </w:r>
            <w:r>
              <w:rPr>
                <w:rFonts w:ascii="Times New Roman" w:hAnsi="Times New Roman" w:eastAsia="宋体" w:cs="Times New Roman"/>
                <w:bCs/>
                <w:color w:val="auto"/>
                <w:kern w:val="2"/>
                <w:sz w:val="21"/>
                <w:szCs w:val="16"/>
                <w:highlight w:val="none"/>
                <w:lang w:val="en-US" w:eastAsia="zh-CN" w:bidi="ar-SA"/>
              </w:rPr>
              <w:t>xi</w:t>
            </w:r>
            <w:r>
              <w:rPr>
                <w:rFonts w:hint="eastAsia" w:ascii="Times New Roman" w:hAnsi="Times New Roman" w:eastAsia="宋体" w:cs="Times New Roman"/>
                <w:bCs/>
                <w:color w:val="auto"/>
                <w:kern w:val="2"/>
                <w:sz w:val="21"/>
                <w:szCs w:val="16"/>
                <w:highlight w:val="none"/>
                <w:lang w:val="en-US" w:eastAsia="zh-CN" w:bidi="ar-SA"/>
              </w:rPr>
              <w:t>关系</w:t>
            </w:r>
          </w:p>
        </w:tc>
        <w:tc>
          <w:tcPr>
            <w:tcW w:w="1592" w:type="dxa"/>
            <w:noWrap w:val="0"/>
            <w:vAlign w:val="center"/>
          </w:tcPr>
          <w:p>
            <w:pPr>
              <w:widowControl w:val="0"/>
              <w:spacing w:line="240" w:lineRule="auto"/>
              <w:ind w:firstLine="0" w:firstLineChars="0"/>
              <w:jc w:val="center"/>
              <w:rPr>
                <w:rFonts w:ascii="Times New Roman" w:hAnsi="Times New Roman" w:eastAsia="宋体" w:cs="Times New Roman"/>
                <w:bCs/>
                <w:color w:val="auto"/>
                <w:kern w:val="2"/>
                <w:sz w:val="21"/>
                <w:szCs w:val="16"/>
                <w:highlight w:val="none"/>
                <w:lang w:val="en-US" w:eastAsia="zh-CN" w:bidi="ar-SA"/>
              </w:rPr>
            </w:pPr>
            <w:r>
              <w:rPr>
                <w:rFonts w:hint="eastAsia" w:ascii="Times New Roman" w:hAnsi="Times New Roman" w:eastAsia="宋体" w:cs="Times New Roman"/>
                <w:bCs/>
                <w:color w:val="auto"/>
                <w:kern w:val="2"/>
                <w:sz w:val="21"/>
                <w:szCs w:val="16"/>
                <w:highlight w:val="none"/>
                <w:lang w:val="en-US" w:eastAsia="zh-CN" w:bidi="ar-SA"/>
              </w:rPr>
              <w:t>II线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2628" w:type="dxa"/>
            <w:noWrap w:val="0"/>
            <w:vAlign w:val="center"/>
          </w:tcPr>
          <w:p>
            <w:pPr>
              <w:widowControl w:val="0"/>
              <w:spacing w:line="240" w:lineRule="auto"/>
              <w:ind w:firstLine="0" w:firstLineChars="0"/>
              <w:jc w:val="center"/>
              <w:rPr>
                <w:rFonts w:ascii="Times New Roman" w:hAnsi="Times New Roman" w:eastAsia="宋体" w:cs="Times New Roman"/>
                <w:bCs/>
                <w:color w:val="auto"/>
                <w:kern w:val="2"/>
                <w:sz w:val="21"/>
                <w:szCs w:val="16"/>
                <w:highlight w:val="none"/>
                <w:lang w:val="en-US" w:eastAsia="zh-CN" w:bidi="ar-SA"/>
              </w:rPr>
            </w:pPr>
            <w:r>
              <w:rPr>
                <w:rFonts w:hint="eastAsia" w:ascii="Times New Roman" w:hAnsi="Times New Roman" w:eastAsia="宋体" w:cs="Times New Roman"/>
                <w:bCs/>
                <w:color w:val="auto"/>
                <w:kern w:val="2"/>
                <w:sz w:val="21"/>
                <w:szCs w:val="16"/>
                <w:highlight w:val="none"/>
                <w:lang w:val="en-US" w:eastAsia="zh-CN" w:bidi="ar-SA"/>
              </w:rPr>
              <w:t>比降</w:t>
            </w:r>
          </w:p>
        </w:tc>
        <w:tc>
          <w:tcPr>
            <w:tcW w:w="2213" w:type="dxa"/>
            <w:noWrap w:val="0"/>
            <w:vAlign w:val="center"/>
          </w:tcPr>
          <w:p>
            <w:pPr>
              <w:widowControl w:val="0"/>
              <w:spacing w:line="240" w:lineRule="auto"/>
              <w:ind w:firstLine="0" w:firstLineChars="0"/>
              <w:jc w:val="center"/>
              <w:rPr>
                <w:rFonts w:ascii="Times New Roman" w:hAnsi="Times New Roman" w:eastAsia="宋体" w:cs="Times New Roman"/>
                <w:bCs/>
                <w:color w:val="auto"/>
                <w:kern w:val="2"/>
                <w:sz w:val="21"/>
                <w:szCs w:val="16"/>
                <w:highlight w:val="none"/>
                <w:lang w:val="en-US" w:eastAsia="zh-CN" w:bidi="ar-SA"/>
              </w:rPr>
            </w:pPr>
            <w:r>
              <w:rPr>
                <w:rFonts w:hint="eastAsia" w:ascii="Times New Roman" w:hAnsi="Times New Roman" w:eastAsia="宋体" w:cs="Times New Roman"/>
                <w:bCs/>
                <w:color w:val="auto"/>
                <w:kern w:val="2"/>
                <w:sz w:val="21"/>
                <w:szCs w:val="16"/>
                <w:highlight w:val="none"/>
                <w:lang w:val="en-US" w:eastAsia="zh-CN" w:bidi="ar-SA"/>
              </w:rPr>
              <w:t>0.085</w:t>
            </w:r>
          </w:p>
        </w:tc>
        <w:tc>
          <w:tcPr>
            <w:tcW w:w="1988" w:type="dxa"/>
            <w:noWrap w:val="0"/>
            <w:vAlign w:val="center"/>
          </w:tcPr>
          <w:p>
            <w:pPr>
              <w:widowControl w:val="0"/>
              <w:spacing w:line="240" w:lineRule="auto"/>
              <w:ind w:firstLine="0" w:firstLineChars="0"/>
              <w:jc w:val="center"/>
              <w:rPr>
                <w:rFonts w:ascii="Times New Roman" w:hAnsi="Times New Roman" w:eastAsia="宋体" w:cs="Times New Roman"/>
                <w:bCs/>
                <w:color w:val="auto"/>
                <w:kern w:val="2"/>
                <w:sz w:val="21"/>
                <w:szCs w:val="16"/>
                <w:highlight w:val="none"/>
                <w:lang w:val="en-US" w:eastAsia="zh-CN" w:bidi="ar-SA"/>
              </w:rPr>
            </w:pPr>
            <w:r>
              <w:rPr>
                <w:rFonts w:ascii="Times New Roman" w:hAnsi="Times New Roman" w:eastAsia="宋体" w:cs="Times New Roman"/>
                <w:bCs/>
                <w:color w:val="auto"/>
                <w:kern w:val="2"/>
                <w:sz w:val="21"/>
                <w:szCs w:val="16"/>
                <w:highlight w:val="none"/>
                <w:lang w:val="en-US" w:eastAsia="zh-CN" w:bidi="ar-SA"/>
              </w:rPr>
              <w:t>m</w:t>
            </w:r>
            <w:r>
              <w:rPr>
                <w:rFonts w:hint="eastAsia" w:ascii="Times New Roman" w:hAnsi="Times New Roman" w:eastAsia="宋体" w:cs="Times New Roman"/>
                <w:bCs/>
                <w:color w:val="auto"/>
                <w:kern w:val="2"/>
                <w:sz w:val="21"/>
                <w:szCs w:val="16"/>
                <w:highlight w:val="none"/>
                <w:lang w:val="en-US" w:eastAsia="zh-CN" w:bidi="ar-SA"/>
              </w:rPr>
              <w:t>～</w:t>
            </w:r>
            <w:r>
              <w:rPr>
                <w:rFonts w:ascii="Times New Roman" w:hAnsi="Times New Roman" w:eastAsia="宋体" w:cs="Times New Roman"/>
                <w:bCs/>
                <w:color w:val="auto"/>
                <w:kern w:val="2"/>
                <w:sz w:val="21"/>
                <w:szCs w:val="16"/>
                <w:highlight w:val="none"/>
                <w:lang w:val="en-US" w:eastAsia="zh-CN" w:bidi="ar-SA"/>
              </w:rPr>
              <w:t>θ</w:t>
            </w:r>
          </w:p>
        </w:tc>
        <w:tc>
          <w:tcPr>
            <w:tcW w:w="1592" w:type="dxa"/>
            <w:noWrap w:val="0"/>
            <w:vAlign w:val="center"/>
          </w:tcPr>
          <w:p>
            <w:pPr>
              <w:widowControl w:val="0"/>
              <w:spacing w:line="240" w:lineRule="auto"/>
              <w:ind w:firstLine="0" w:firstLineChars="0"/>
              <w:jc w:val="center"/>
              <w:rPr>
                <w:rFonts w:ascii="Times New Roman" w:hAnsi="Times New Roman" w:eastAsia="宋体" w:cs="Times New Roman"/>
                <w:bCs/>
                <w:color w:val="auto"/>
                <w:kern w:val="2"/>
                <w:sz w:val="21"/>
                <w:szCs w:val="16"/>
                <w:highlight w:val="none"/>
                <w:lang w:val="en-US" w:eastAsia="zh-CN" w:bidi="ar-SA"/>
              </w:rPr>
            </w:pPr>
            <w:r>
              <w:rPr>
                <w:rFonts w:hint="eastAsia" w:ascii="Times New Roman" w:hAnsi="Times New Roman" w:eastAsia="宋体" w:cs="Times New Roman"/>
                <w:bCs/>
                <w:color w:val="auto"/>
                <w:kern w:val="2"/>
                <w:sz w:val="21"/>
                <w:szCs w:val="16"/>
                <w:highlight w:val="none"/>
                <w:lang w:val="en-US" w:eastAsia="zh-CN" w:bidi="ar-SA"/>
              </w:rPr>
              <w:t>大陆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2628" w:type="dxa"/>
            <w:noWrap w:val="0"/>
            <w:vAlign w:val="center"/>
          </w:tcPr>
          <w:p>
            <w:pPr>
              <w:widowControl w:val="0"/>
              <w:spacing w:line="240" w:lineRule="auto"/>
              <w:ind w:firstLine="0" w:firstLineChars="0"/>
              <w:jc w:val="center"/>
              <w:rPr>
                <w:rFonts w:ascii="Times New Roman" w:hAnsi="Times New Roman" w:eastAsia="宋体" w:cs="Times New Roman"/>
                <w:bCs/>
                <w:color w:val="auto"/>
                <w:kern w:val="2"/>
                <w:sz w:val="21"/>
                <w:szCs w:val="16"/>
                <w:highlight w:val="none"/>
                <w:lang w:val="en-US" w:eastAsia="zh-CN" w:bidi="ar-SA"/>
              </w:rPr>
            </w:pPr>
            <w:r>
              <w:rPr>
                <w:rFonts w:hint="eastAsia" w:ascii="Times New Roman" w:hAnsi="Times New Roman" w:eastAsia="宋体" w:cs="Times New Roman"/>
                <w:bCs/>
                <w:color w:val="auto"/>
                <w:kern w:val="2"/>
                <w:sz w:val="21"/>
                <w:szCs w:val="16"/>
                <w:highlight w:val="none"/>
                <w:lang w:val="en-US" w:eastAsia="zh-CN" w:bidi="ar-SA"/>
              </w:rPr>
              <w:t>产流分区</w:t>
            </w:r>
          </w:p>
        </w:tc>
        <w:tc>
          <w:tcPr>
            <w:tcW w:w="2213" w:type="dxa"/>
            <w:noWrap w:val="0"/>
            <w:vAlign w:val="center"/>
          </w:tcPr>
          <w:p>
            <w:pPr>
              <w:widowControl w:val="0"/>
              <w:spacing w:line="240" w:lineRule="auto"/>
              <w:ind w:firstLine="0" w:firstLineChars="0"/>
              <w:jc w:val="center"/>
              <w:rPr>
                <w:rFonts w:ascii="Times New Roman" w:hAnsi="Times New Roman" w:eastAsia="宋体" w:cs="Times New Roman"/>
                <w:bCs/>
                <w:color w:val="auto"/>
                <w:kern w:val="2"/>
                <w:sz w:val="21"/>
                <w:szCs w:val="16"/>
                <w:highlight w:val="none"/>
                <w:lang w:val="en-US" w:eastAsia="zh-CN" w:bidi="ar-SA"/>
              </w:rPr>
            </w:pPr>
            <w:r>
              <w:rPr>
                <w:rFonts w:hint="eastAsia" w:ascii="Times New Roman" w:hAnsi="Times New Roman" w:eastAsia="宋体" w:cs="Times New Roman"/>
                <w:bCs/>
                <w:color w:val="auto"/>
                <w:kern w:val="2"/>
                <w:sz w:val="21"/>
                <w:szCs w:val="16"/>
                <w:highlight w:val="none"/>
                <w:lang w:val="en-US" w:eastAsia="zh-CN" w:bidi="ar-SA"/>
              </w:rPr>
              <w:t>韩江</w:t>
            </w:r>
          </w:p>
        </w:tc>
        <w:tc>
          <w:tcPr>
            <w:tcW w:w="1988" w:type="dxa"/>
            <w:noWrap w:val="0"/>
            <w:vAlign w:val="center"/>
          </w:tcPr>
          <w:p>
            <w:pPr>
              <w:widowControl w:val="0"/>
              <w:spacing w:line="240" w:lineRule="auto"/>
              <w:ind w:firstLine="0" w:firstLineChars="0"/>
              <w:jc w:val="center"/>
              <w:rPr>
                <w:rFonts w:ascii="Times New Roman" w:hAnsi="Times New Roman" w:eastAsia="宋体" w:cs="Times New Roman"/>
                <w:bCs/>
                <w:color w:val="auto"/>
                <w:kern w:val="2"/>
                <w:sz w:val="21"/>
                <w:szCs w:val="16"/>
                <w:highlight w:val="none"/>
                <w:lang w:val="en-US" w:eastAsia="zh-CN" w:bidi="ar-SA"/>
              </w:rPr>
            </w:pPr>
            <w:r>
              <w:rPr>
                <w:rFonts w:ascii="Times New Roman" w:hAnsi="Times New Roman" w:eastAsia="宋体" w:cs="Times New Roman"/>
                <w:bCs/>
                <w:color w:val="auto"/>
                <w:kern w:val="2"/>
                <w:sz w:val="21"/>
                <w:szCs w:val="16"/>
                <w:highlight w:val="none"/>
                <w:lang w:val="en-US" w:eastAsia="zh-CN" w:bidi="ar-SA"/>
              </w:rPr>
              <w:t>θ</w:t>
            </w:r>
          </w:p>
        </w:tc>
        <w:tc>
          <w:tcPr>
            <w:tcW w:w="1592" w:type="dxa"/>
            <w:noWrap w:val="0"/>
            <w:vAlign w:val="center"/>
          </w:tcPr>
          <w:p>
            <w:pPr>
              <w:widowControl w:val="0"/>
              <w:spacing w:line="240" w:lineRule="auto"/>
              <w:ind w:firstLine="0" w:firstLineChars="0"/>
              <w:jc w:val="center"/>
              <w:rPr>
                <w:rFonts w:ascii="Times New Roman" w:hAnsi="Times New Roman" w:eastAsia="宋体" w:cs="Times New Roman"/>
                <w:bCs/>
                <w:color w:val="auto"/>
                <w:kern w:val="2"/>
                <w:sz w:val="21"/>
                <w:szCs w:val="16"/>
                <w:highlight w:val="none"/>
                <w:lang w:val="en-US" w:eastAsia="zh-CN" w:bidi="ar-SA"/>
              </w:rPr>
            </w:pPr>
            <w:r>
              <w:rPr>
                <w:rFonts w:hint="eastAsia" w:ascii="Times New Roman" w:hAnsi="Times New Roman" w:eastAsia="宋体" w:cs="Times New Roman"/>
                <w:bCs/>
                <w:color w:val="auto"/>
                <w:kern w:val="2"/>
                <w:sz w:val="21"/>
                <w:szCs w:val="16"/>
                <w:highlight w:val="none"/>
                <w:lang w:val="en-US" w:eastAsia="zh-CN" w:bidi="ar-SA"/>
              </w:rPr>
              <w:t>12.51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2628" w:type="dxa"/>
            <w:noWrap w:val="0"/>
            <w:vAlign w:val="center"/>
          </w:tcPr>
          <w:p>
            <w:pPr>
              <w:widowControl w:val="0"/>
              <w:spacing w:line="240" w:lineRule="auto"/>
              <w:ind w:firstLine="0" w:firstLineChars="0"/>
              <w:jc w:val="center"/>
              <w:rPr>
                <w:rFonts w:ascii="Times New Roman" w:hAnsi="Times New Roman" w:eastAsia="宋体" w:cs="Times New Roman"/>
                <w:bCs/>
                <w:color w:val="auto"/>
                <w:kern w:val="2"/>
                <w:sz w:val="21"/>
                <w:szCs w:val="16"/>
                <w:highlight w:val="none"/>
                <w:lang w:val="en-US" w:eastAsia="zh-CN" w:bidi="ar-SA"/>
              </w:rPr>
            </w:pPr>
            <w:r>
              <w:rPr>
                <w:rFonts w:hint="eastAsia" w:ascii="Times New Roman" w:hAnsi="Times New Roman" w:eastAsia="宋体" w:cs="Times New Roman"/>
                <w:bCs/>
                <w:color w:val="auto"/>
                <w:kern w:val="2"/>
                <w:sz w:val="21"/>
                <w:szCs w:val="16"/>
                <w:highlight w:val="none"/>
                <w:lang w:val="en-US" w:eastAsia="zh-CN" w:bidi="ar-SA"/>
              </w:rPr>
              <w:t>雨型分区</w:t>
            </w:r>
          </w:p>
        </w:tc>
        <w:tc>
          <w:tcPr>
            <w:tcW w:w="2213" w:type="dxa"/>
            <w:noWrap w:val="0"/>
            <w:vAlign w:val="center"/>
          </w:tcPr>
          <w:p>
            <w:pPr>
              <w:widowControl w:val="0"/>
              <w:spacing w:line="240" w:lineRule="auto"/>
              <w:ind w:firstLine="0" w:firstLineChars="0"/>
              <w:jc w:val="center"/>
              <w:rPr>
                <w:rFonts w:ascii="Times New Roman" w:hAnsi="Times New Roman" w:eastAsia="宋体" w:cs="Times New Roman"/>
                <w:bCs/>
                <w:color w:val="auto"/>
                <w:kern w:val="2"/>
                <w:sz w:val="21"/>
                <w:szCs w:val="16"/>
                <w:highlight w:val="none"/>
                <w:lang w:val="en-US" w:eastAsia="zh-CN" w:bidi="ar-SA"/>
              </w:rPr>
            </w:pPr>
            <w:r>
              <w:rPr>
                <w:rFonts w:hint="eastAsia" w:ascii="Times New Roman" w:hAnsi="Times New Roman" w:eastAsia="宋体" w:cs="Times New Roman"/>
                <w:bCs/>
                <w:color w:val="auto"/>
                <w:kern w:val="2"/>
                <w:sz w:val="21"/>
                <w:szCs w:val="16"/>
                <w:highlight w:val="none"/>
                <w:lang w:val="en-US" w:eastAsia="zh-CN" w:bidi="ar-SA"/>
              </w:rPr>
              <w:t>Ⅰ</w:t>
            </w:r>
          </w:p>
        </w:tc>
        <w:tc>
          <w:tcPr>
            <w:tcW w:w="1988" w:type="dxa"/>
            <w:noWrap w:val="0"/>
            <w:vAlign w:val="center"/>
          </w:tcPr>
          <w:p>
            <w:pPr>
              <w:widowControl w:val="0"/>
              <w:spacing w:line="240" w:lineRule="auto"/>
              <w:ind w:firstLine="0" w:firstLineChars="0"/>
              <w:jc w:val="center"/>
              <w:rPr>
                <w:rFonts w:ascii="Times New Roman" w:hAnsi="Times New Roman" w:eastAsia="宋体" w:cs="Times New Roman"/>
                <w:bCs/>
                <w:color w:val="auto"/>
                <w:kern w:val="2"/>
                <w:sz w:val="21"/>
                <w:szCs w:val="16"/>
                <w:highlight w:val="none"/>
                <w:lang w:val="en-US" w:eastAsia="zh-CN" w:bidi="ar-SA"/>
              </w:rPr>
            </w:pPr>
            <w:r>
              <w:rPr>
                <w:rFonts w:ascii="Times New Roman" w:hAnsi="Times New Roman" w:eastAsia="宋体" w:cs="Times New Roman"/>
                <w:bCs/>
                <w:color w:val="auto"/>
                <w:kern w:val="2"/>
                <w:sz w:val="21"/>
                <w:szCs w:val="16"/>
                <w:highlight w:val="none"/>
                <w:lang w:val="en-US" w:eastAsia="zh-CN" w:bidi="ar-SA"/>
              </w:rPr>
              <w:t>m</w:t>
            </w:r>
          </w:p>
        </w:tc>
        <w:tc>
          <w:tcPr>
            <w:tcW w:w="1592" w:type="dxa"/>
            <w:noWrap w:val="0"/>
            <w:vAlign w:val="center"/>
          </w:tcPr>
          <w:p>
            <w:pPr>
              <w:widowControl w:val="0"/>
              <w:spacing w:line="240" w:lineRule="auto"/>
              <w:ind w:firstLine="0" w:firstLineChars="0"/>
              <w:jc w:val="center"/>
              <w:rPr>
                <w:rFonts w:ascii="Times New Roman" w:hAnsi="Times New Roman" w:eastAsia="宋体" w:cs="Times New Roman"/>
                <w:bCs/>
                <w:color w:val="auto"/>
                <w:kern w:val="2"/>
                <w:sz w:val="21"/>
                <w:szCs w:val="16"/>
                <w:highlight w:val="none"/>
                <w:lang w:val="en-US" w:eastAsia="zh-CN" w:bidi="ar-SA"/>
              </w:rPr>
            </w:pPr>
            <w:r>
              <w:rPr>
                <w:rFonts w:hint="eastAsia" w:ascii="Times New Roman" w:hAnsi="Times New Roman" w:eastAsia="宋体" w:cs="Times New Roman"/>
                <w:bCs/>
                <w:color w:val="auto"/>
                <w:kern w:val="2"/>
                <w:sz w:val="21"/>
                <w:szCs w:val="16"/>
                <w:highlight w:val="none"/>
                <w:lang w:val="en-US" w:eastAsia="zh-CN" w:bidi="ar-SA"/>
              </w:rPr>
              <w:t>0.</w:t>
            </w:r>
            <w:r>
              <w:rPr>
                <w:rFonts w:hint="eastAsia" w:cs="Times New Roman"/>
                <w:bCs/>
                <w:color w:val="auto"/>
                <w:kern w:val="2"/>
                <w:sz w:val="21"/>
                <w:szCs w:val="16"/>
                <w:highlight w:val="none"/>
                <w:lang w:val="en-US" w:eastAsia="zh-CN" w:bidi="ar-SA"/>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2628" w:type="dxa"/>
            <w:noWrap w:val="0"/>
            <w:vAlign w:val="center"/>
          </w:tcPr>
          <w:p>
            <w:pPr>
              <w:widowControl w:val="0"/>
              <w:spacing w:line="240" w:lineRule="auto"/>
              <w:ind w:firstLine="0" w:firstLineChars="0"/>
              <w:jc w:val="center"/>
              <w:rPr>
                <w:rFonts w:ascii="Times New Roman" w:hAnsi="Times New Roman" w:eastAsia="宋体" w:cs="Times New Roman"/>
                <w:bCs/>
                <w:color w:val="auto"/>
                <w:kern w:val="2"/>
                <w:sz w:val="21"/>
                <w:szCs w:val="16"/>
                <w:highlight w:val="none"/>
                <w:lang w:val="en-US" w:eastAsia="zh-CN" w:bidi="ar-SA"/>
              </w:rPr>
            </w:pPr>
            <w:r>
              <w:rPr>
                <w:rFonts w:hint="eastAsia" w:ascii="Times New Roman" w:hAnsi="Times New Roman" w:eastAsia="宋体" w:cs="Times New Roman"/>
                <w:bCs/>
                <w:color w:val="auto"/>
                <w:kern w:val="2"/>
                <w:sz w:val="21"/>
                <w:szCs w:val="16"/>
                <w:highlight w:val="none"/>
                <w:lang w:val="en-US" w:eastAsia="zh-CN" w:bidi="ar-SA"/>
              </w:rPr>
              <w:t>设计雨型</w:t>
            </w:r>
          </w:p>
        </w:tc>
        <w:tc>
          <w:tcPr>
            <w:tcW w:w="2213" w:type="dxa"/>
            <w:noWrap w:val="0"/>
            <w:vAlign w:val="center"/>
          </w:tcPr>
          <w:p>
            <w:pPr>
              <w:widowControl w:val="0"/>
              <w:spacing w:line="240" w:lineRule="auto"/>
              <w:ind w:firstLine="0" w:firstLineChars="0"/>
              <w:jc w:val="center"/>
              <w:rPr>
                <w:rFonts w:ascii="Times New Roman" w:hAnsi="Times New Roman" w:eastAsia="宋体" w:cs="Times New Roman"/>
                <w:bCs/>
                <w:color w:val="auto"/>
                <w:kern w:val="2"/>
                <w:sz w:val="21"/>
                <w:szCs w:val="16"/>
                <w:highlight w:val="none"/>
                <w:lang w:val="en-US" w:eastAsia="zh-CN" w:bidi="ar-SA"/>
              </w:rPr>
            </w:pPr>
            <w:r>
              <w:rPr>
                <w:rFonts w:hint="eastAsia" w:ascii="Times New Roman" w:hAnsi="Times New Roman" w:eastAsia="宋体" w:cs="Times New Roman"/>
                <w:bCs/>
                <w:color w:val="auto"/>
                <w:kern w:val="2"/>
                <w:sz w:val="21"/>
                <w:szCs w:val="16"/>
                <w:highlight w:val="none"/>
                <w:lang w:val="en-US" w:eastAsia="zh-CN" w:bidi="ar-SA"/>
              </w:rPr>
              <w:t>韩江</w:t>
            </w:r>
          </w:p>
        </w:tc>
        <w:tc>
          <w:tcPr>
            <w:tcW w:w="1988" w:type="dxa"/>
            <w:noWrap w:val="0"/>
            <w:vAlign w:val="center"/>
          </w:tcPr>
          <w:p>
            <w:pPr>
              <w:widowControl w:val="0"/>
              <w:spacing w:line="240" w:lineRule="auto"/>
              <w:ind w:firstLine="0" w:firstLineChars="0"/>
              <w:jc w:val="center"/>
              <w:rPr>
                <w:rFonts w:ascii="Times New Roman" w:hAnsi="Times New Roman" w:eastAsia="宋体" w:cs="Times New Roman"/>
                <w:bCs/>
                <w:color w:val="auto"/>
                <w:kern w:val="2"/>
                <w:sz w:val="21"/>
                <w:szCs w:val="16"/>
                <w:highlight w:val="none"/>
                <w:lang w:val="en-US" w:eastAsia="zh-CN" w:bidi="ar-SA"/>
              </w:rPr>
            </w:pPr>
            <w:r>
              <w:rPr>
                <w:rFonts w:ascii="Times New Roman" w:hAnsi="Times New Roman" w:eastAsia="宋体" w:cs="Times New Roman"/>
                <w:bCs/>
                <w:color w:val="auto"/>
                <w:kern w:val="2"/>
                <w:sz w:val="21"/>
                <w:szCs w:val="16"/>
                <w:highlight w:val="none"/>
                <w:lang w:val="en-US" w:eastAsia="zh-CN" w:bidi="ar-SA"/>
              </w:rPr>
              <w:t>m</w:t>
            </w:r>
            <w:r>
              <w:rPr>
                <w:rFonts w:ascii="Times New Roman" w:hAnsi="Times New Roman" w:eastAsia="宋体" w:cs="Times New Roman"/>
                <w:bCs/>
                <w:color w:val="auto"/>
                <w:kern w:val="2"/>
                <w:sz w:val="21"/>
                <w:szCs w:val="16"/>
                <w:highlight w:val="none"/>
                <w:vertAlign w:val="subscript"/>
                <w:lang w:val="en-US" w:eastAsia="zh-CN" w:bidi="ar-SA"/>
              </w:rPr>
              <w:t>1</w:t>
            </w:r>
            <w:r>
              <w:rPr>
                <w:rFonts w:hint="eastAsia" w:ascii="Times New Roman" w:hAnsi="Times New Roman" w:eastAsia="宋体" w:cs="Times New Roman"/>
                <w:bCs/>
                <w:color w:val="auto"/>
                <w:kern w:val="2"/>
                <w:sz w:val="21"/>
                <w:szCs w:val="16"/>
                <w:highlight w:val="none"/>
                <w:lang w:val="en-US" w:eastAsia="zh-CN" w:bidi="ar-SA"/>
              </w:rPr>
              <w:t>（</w:t>
            </w:r>
            <w:r>
              <w:rPr>
                <w:rFonts w:ascii="Times New Roman" w:hAnsi="Times New Roman" w:eastAsia="宋体" w:cs="Times New Roman"/>
                <w:bCs/>
                <w:color w:val="auto"/>
                <w:kern w:val="2"/>
                <w:sz w:val="21"/>
                <w:szCs w:val="16"/>
                <w:highlight w:val="none"/>
                <w:lang w:val="en-US" w:eastAsia="zh-CN" w:bidi="ar-SA"/>
              </w:rPr>
              <w:t>h</w:t>
            </w:r>
            <w:r>
              <w:rPr>
                <w:rFonts w:hint="eastAsia" w:ascii="Times New Roman" w:hAnsi="Times New Roman" w:eastAsia="宋体" w:cs="Times New Roman"/>
                <w:bCs/>
                <w:color w:val="auto"/>
                <w:kern w:val="2"/>
                <w:sz w:val="21"/>
                <w:szCs w:val="16"/>
                <w:highlight w:val="none"/>
                <w:lang w:val="en-US" w:eastAsia="zh-CN" w:bidi="ar-SA"/>
              </w:rPr>
              <w:t>）</w:t>
            </w:r>
          </w:p>
        </w:tc>
        <w:tc>
          <w:tcPr>
            <w:tcW w:w="1592" w:type="dxa"/>
            <w:noWrap w:val="0"/>
            <w:vAlign w:val="center"/>
          </w:tcPr>
          <w:p>
            <w:pPr>
              <w:widowControl w:val="0"/>
              <w:spacing w:line="240" w:lineRule="auto"/>
              <w:ind w:firstLine="0" w:firstLineChars="0"/>
              <w:jc w:val="center"/>
              <w:rPr>
                <w:rFonts w:ascii="Times New Roman" w:hAnsi="Times New Roman" w:eastAsia="宋体" w:cs="Times New Roman"/>
                <w:bCs/>
                <w:color w:val="auto"/>
                <w:kern w:val="2"/>
                <w:sz w:val="21"/>
                <w:szCs w:val="16"/>
                <w:highlight w:val="none"/>
                <w:lang w:val="en-US" w:eastAsia="zh-CN" w:bidi="ar-SA"/>
              </w:rPr>
            </w:pPr>
            <w:r>
              <w:rPr>
                <w:rFonts w:hint="eastAsia" w:ascii="Times New Roman" w:hAnsi="Times New Roman" w:eastAsia="宋体" w:cs="Times New Roman"/>
                <w:bCs/>
                <w:color w:val="auto"/>
                <w:kern w:val="2"/>
                <w:sz w:val="21"/>
                <w:szCs w:val="16"/>
                <w:highlight w:val="none"/>
                <w:lang w:val="en-US" w:eastAsia="zh-CN" w:bidi="ar-SA"/>
              </w:rPr>
              <w:t>0.9</w:t>
            </w:r>
            <w:r>
              <w:rPr>
                <w:rFonts w:hint="eastAsia" w:cs="Times New Roman"/>
                <w:bCs/>
                <w:color w:val="auto"/>
                <w:kern w:val="2"/>
                <w:sz w:val="21"/>
                <w:szCs w:val="16"/>
                <w:highlight w:val="none"/>
                <w:lang w:val="en-US" w:eastAsia="zh-CN"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2628" w:type="dxa"/>
            <w:noWrap w:val="0"/>
            <w:vAlign w:val="center"/>
          </w:tcPr>
          <w:p>
            <w:pPr>
              <w:widowControl w:val="0"/>
              <w:spacing w:line="240" w:lineRule="auto"/>
              <w:ind w:firstLine="0" w:firstLineChars="0"/>
              <w:jc w:val="center"/>
              <w:rPr>
                <w:rFonts w:ascii="Times New Roman" w:hAnsi="Times New Roman" w:eastAsia="宋体" w:cs="Times New Roman"/>
                <w:bCs/>
                <w:color w:val="auto"/>
                <w:kern w:val="2"/>
                <w:sz w:val="21"/>
                <w:szCs w:val="16"/>
                <w:highlight w:val="none"/>
                <w:lang w:val="en-US" w:eastAsia="zh-CN" w:bidi="ar-SA"/>
              </w:rPr>
            </w:pPr>
            <w:r>
              <w:rPr>
                <w:rFonts w:hint="eastAsia" w:ascii="Times New Roman" w:hAnsi="Times New Roman" w:eastAsia="宋体" w:cs="Times New Roman"/>
                <w:bCs/>
                <w:color w:val="auto"/>
                <w:kern w:val="2"/>
                <w:sz w:val="21"/>
                <w:szCs w:val="16"/>
                <w:highlight w:val="none"/>
                <w:lang w:val="en-US" w:eastAsia="zh-CN" w:bidi="ar-SA"/>
              </w:rPr>
              <w:t>设计暴雨定点定面关系</w:t>
            </w:r>
          </w:p>
        </w:tc>
        <w:tc>
          <w:tcPr>
            <w:tcW w:w="2213" w:type="dxa"/>
            <w:noWrap w:val="0"/>
            <w:vAlign w:val="center"/>
          </w:tcPr>
          <w:p>
            <w:pPr>
              <w:widowControl w:val="0"/>
              <w:spacing w:line="240" w:lineRule="auto"/>
              <w:ind w:firstLine="0" w:firstLineChars="0"/>
              <w:jc w:val="center"/>
              <w:rPr>
                <w:rFonts w:ascii="Times New Roman" w:hAnsi="Times New Roman" w:eastAsia="宋体" w:cs="Times New Roman"/>
                <w:bCs/>
                <w:color w:val="auto"/>
                <w:kern w:val="2"/>
                <w:sz w:val="21"/>
                <w:szCs w:val="16"/>
                <w:highlight w:val="none"/>
                <w:lang w:val="en-US" w:eastAsia="zh-CN" w:bidi="ar-SA"/>
              </w:rPr>
            </w:pPr>
            <w:r>
              <w:rPr>
                <w:rFonts w:hint="eastAsia" w:ascii="Times New Roman" w:hAnsi="Times New Roman" w:eastAsia="宋体" w:cs="Times New Roman"/>
                <w:bCs/>
                <w:color w:val="auto"/>
                <w:kern w:val="2"/>
                <w:sz w:val="21"/>
                <w:szCs w:val="16"/>
                <w:highlight w:val="none"/>
                <w:lang w:val="en-US" w:eastAsia="zh-CN" w:bidi="ar-SA"/>
              </w:rPr>
              <w:t>暴雨低区</w:t>
            </w:r>
          </w:p>
        </w:tc>
        <w:tc>
          <w:tcPr>
            <w:tcW w:w="1988" w:type="dxa"/>
            <w:noWrap w:val="0"/>
            <w:vAlign w:val="center"/>
          </w:tcPr>
          <w:p>
            <w:pPr>
              <w:widowControl w:val="0"/>
              <w:spacing w:line="240" w:lineRule="auto"/>
              <w:ind w:firstLine="0" w:firstLineChars="0"/>
              <w:jc w:val="center"/>
              <w:rPr>
                <w:rFonts w:ascii="Times New Roman" w:hAnsi="Times New Roman" w:eastAsia="宋体" w:cs="Times New Roman"/>
                <w:bCs/>
                <w:color w:val="auto"/>
                <w:kern w:val="2"/>
                <w:sz w:val="21"/>
                <w:szCs w:val="16"/>
                <w:highlight w:val="none"/>
                <w:lang w:val="en-US" w:eastAsia="zh-CN" w:bidi="ar-SA"/>
              </w:rPr>
            </w:pPr>
            <w:r>
              <w:rPr>
                <w:rFonts w:hint="eastAsia" w:ascii="Times New Roman" w:hAnsi="Times New Roman" w:eastAsia="宋体" w:cs="Times New Roman"/>
                <w:bCs/>
                <w:color w:val="auto"/>
                <w:kern w:val="2"/>
                <w:sz w:val="21"/>
                <w:szCs w:val="16"/>
                <w:highlight w:val="none"/>
                <w:lang w:val="en-US" w:eastAsia="zh-CN" w:bidi="ar-SA"/>
              </w:rPr>
              <w:t>△</w:t>
            </w:r>
            <w:r>
              <w:rPr>
                <w:rFonts w:ascii="Times New Roman" w:hAnsi="Times New Roman" w:eastAsia="宋体" w:cs="Times New Roman"/>
                <w:bCs/>
                <w:color w:val="auto"/>
                <w:kern w:val="2"/>
                <w:sz w:val="21"/>
                <w:szCs w:val="16"/>
                <w:highlight w:val="none"/>
                <w:lang w:val="en-US" w:eastAsia="zh-CN" w:bidi="ar-SA"/>
              </w:rPr>
              <w:t>t</w:t>
            </w:r>
            <w:r>
              <w:rPr>
                <w:rFonts w:hint="eastAsia" w:ascii="Times New Roman" w:hAnsi="Times New Roman" w:eastAsia="宋体" w:cs="Times New Roman"/>
                <w:bCs/>
                <w:color w:val="auto"/>
                <w:kern w:val="2"/>
                <w:sz w:val="21"/>
                <w:szCs w:val="16"/>
                <w:highlight w:val="none"/>
                <w:lang w:val="en-US" w:eastAsia="zh-CN" w:bidi="ar-SA"/>
              </w:rPr>
              <w:t>（</w:t>
            </w:r>
            <w:r>
              <w:rPr>
                <w:rFonts w:ascii="Times New Roman" w:hAnsi="Times New Roman" w:eastAsia="宋体" w:cs="Times New Roman"/>
                <w:bCs/>
                <w:color w:val="auto"/>
                <w:kern w:val="2"/>
                <w:sz w:val="21"/>
                <w:szCs w:val="16"/>
                <w:highlight w:val="none"/>
                <w:lang w:val="en-US" w:eastAsia="zh-CN" w:bidi="ar-SA"/>
              </w:rPr>
              <w:t>h</w:t>
            </w:r>
            <w:r>
              <w:rPr>
                <w:rFonts w:hint="eastAsia" w:ascii="Times New Roman" w:hAnsi="Times New Roman" w:eastAsia="宋体" w:cs="Times New Roman"/>
                <w:bCs/>
                <w:color w:val="auto"/>
                <w:kern w:val="2"/>
                <w:sz w:val="21"/>
                <w:szCs w:val="16"/>
                <w:highlight w:val="none"/>
                <w:lang w:val="en-US" w:eastAsia="zh-CN" w:bidi="ar-SA"/>
              </w:rPr>
              <w:t>）</w:t>
            </w:r>
          </w:p>
        </w:tc>
        <w:tc>
          <w:tcPr>
            <w:tcW w:w="1592" w:type="dxa"/>
            <w:noWrap w:val="0"/>
            <w:vAlign w:val="center"/>
          </w:tcPr>
          <w:p>
            <w:pPr>
              <w:widowControl w:val="0"/>
              <w:spacing w:line="240" w:lineRule="auto"/>
              <w:ind w:firstLine="0" w:firstLineChars="0"/>
              <w:jc w:val="center"/>
              <w:rPr>
                <w:rFonts w:ascii="Times New Roman" w:hAnsi="Times New Roman" w:eastAsia="宋体" w:cs="Times New Roman"/>
                <w:bCs/>
                <w:color w:val="auto"/>
                <w:kern w:val="2"/>
                <w:sz w:val="21"/>
                <w:szCs w:val="16"/>
                <w:highlight w:val="none"/>
                <w:lang w:val="en-US" w:eastAsia="zh-CN" w:bidi="ar-SA"/>
              </w:rPr>
            </w:pPr>
            <w:r>
              <w:rPr>
                <w:rFonts w:ascii="Times New Roman" w:hAnsi="Times New Roman" w:eastAsia="宋体" w:cs="Times New Roman"/>
                <w:bCs/>
                <w:color w:val="auto"/>
                <w:kern w:val="2"/>
                <w:sz w:val="21"/>
                <w:szCs w:val="16"/>
                <w:highlight w:val="none"/>
                <w:lang w:val="en-US" w:eastAsia="zh-CN" w:bidi="ar-SA"/>
              </w:rPr>
              <w:t>0.</w:t>
            </w:r>
            <w:r>
              <w:rPr>
                <w:rFonts w:hint="eastAsia" w:ascii="Times New Roman" w:hAnsi="Times New Roman" w:eastAsia="宋体" w:cs="Times New Roman"/>
                <w:bCs/>
                <w:color w:val="auto"/>
                <w:kern w:val="2"/>
                <w:sz w:val="21"/>
                <w:szCs w:val="16"/>
                <w:highlight w:val="none"/>
                <w:lang w:val="en-US" w:eastAsia="zh-CN" w:bidi="ar-SA"/>
              </w:rPr>
              <w:t>5</w:t>
            </w:r>
          </w:p>
        </w:tc>
      </w:tr>
    </w:tbl>
    <w:p>
      <w:pPr>
        <w:pStyle w:val="38"/>
        <w:spacing w:line="500" w:lineRule="atLeast"/>
        <w:ind w:firstLine="48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根据洋坑水库的相关参数，采用《广东省暴雨径流查算图表使用手册》中的综合单位线法和推理公式法进行设计洪水计算（综合考虑引水渠道的引水入库流量0.6m</w:t>
      </w:r>
      <w:r>
        <w:rPr>
          <w:rFonts w:hint="eastAsia" w:ascii="Times New Roman" w:hAnsi="Times New Roman" w:eastAsia="宋体" w:cs="Times New Roman"/>
          <w:color w:val="auto"/>
          <w:highlight w:val="none"/>
          <w:vertAlign w:val="superscript"/>
        </w:rPr>
        <w:t>3</w:t>
      </w:r>
      <w:r>
        <w:rPr>
          <w:rFonts w:hint="eastAsia" w:ascii="Times New Roman" w:hAnsi="Times New Roman" w:eastAsia="宋体" w:cs="Times New Roman"/>
          <w:color w:val="auto"/>
          <w:highlight w:val="none"/>
        </w:rPr>
        <w:t>/s及坝后电站下泄流量0.52m</w:t>
      </w:r>
      <w:r>
        <w:rPr>
          <w:rFonts w:hint="eastAsia" w:ascii="Times New Roman" w:hAnsi="Times New Roman" w:eastAsia="宋体" w:cs="Times New Roman"/>
          <w:color w:val="auto"/>
          <w:highlight w:val="none"/>
          <w:vertAlign w:val="superscript"/>
        </w:rPr>
        <w:t>3</w:t>
      </w:r>
      <w:r>
        <w:rPr>
          <w:rFonts w:hint="eastAsia" w:ascii="Times New Roman" w:hAnsi="Times New Roman" w:eastAsia="宋体" w:cs="Times New Roman"/>
          <w:color w:val="auto"/>
          <w:highlight w:val="none"/>
        </w:rPr>
        <w:t>/s），并与</w:t>
      </w:r>
      <w:r>
        <w:rPr>
          <w:rFonts w:hint="eastAsia" w:ascii="Times New Roman" w:hAnsi="Times New Roman" w:eastAsia="宋体" w:cs="Times New Roman"/>
          <w:color w:val="auto"/>
          <w:highlight w:val="none"/>
          <w:lang w:val="en-US" w:eastAsia="zh-CN"/>
        </w:rPr>
        <w:t>洋坑水库安全鉴定的防洪能力复核成果、已</w:t>
      </w:r>
      <w:r>
        <w:rPr>
          <w:rFonts w:hint="eastAsia" w:ascii="Times New Roman" w:hAnsi="Times New Roman" w:eastAsia="宋体" w:cs="Times New Roman"/>
          <w:color w:val="auto"/>
          <w:highlight w:val="none"/>
        </w:rPr>
        <w:t>批复的原除险加固初步设计报告成果进行对比分析，设计洪水计算成果表</w:t>
      </w:r>
      <w:r>
        <w:rPr>
          <w:rFonts w:hint="eastAsia" w:ascii="Times New Roman" w:hAnsi="Times New Roman" w:eastAsia="宋体" w:cs="Times New Roman"/>
          <w:color w:val="auto"/>
          <w:highlight w:val="none"/>
          <w:lang w:val="en-US" w:eastAsia="zh-CN"/>
        </w:rPr>
        <w:t>1.2</w:t>
      </w:r>
      <w:r>
        <w:rPr>
          <w:rFonts w:ascii="Times New Roman" w:hAnsi="Times New Roman" w:eastAsia="宋体" w:cs="Times New Roman"/>
          <w:color w:val="auto"/>
          <w:highlight w:val="none"/>
        </w:rPr>
        <w:t>-</w:t>
      </w:r>
      <w:r>
        <w:rPr>
          <w:rFonts w:hint="eastAsia" w:ascii="Times New Roman" w:hAnsi="Times New Roman" w:eastAsia="宋体" w:cs="Times New Roman"/>
          <w:color w:val="auto"/>
          <w:highlight w:val="none"/>
          <w:lang w:val="en-US" w:eastAsia="zh-CN"/>
        </w:rPr>
        <w:t>3</w:t>
      </w:r>
      <w:r>
        <w:rPr>
          <w:rFonts w:hint="eastAsia" w:ascii="Times New Roman" w:hAnsi="Times New Roman" w:eastAsia="宋体" w:cs="Times New Roman"/>
          <w:color w:val="auto"/>
          <w:highlight w:val="none"/>
        </w:rPr>
        <w:t>。设计洪水标准为50年一遇，校核洪水校准为500年一遇，消能防冲标准为20年一遇。</w:t>
      </w:r>
    </w:p>
    <w:p>
      <w:pPr>
        <w:pStyle w:val="38"/>
        <w:spacing w:line="500" w:lineRule="atLeast"/>
        <w:ind w:firstLine="480"/>
        <w:jc w:val="center"/>
        <w:rPr>
          <w:rFonts w:ascii="Times New Roman" w:hAnsi="Times New Roman" w:eastAsia="宋体" w:cs="Times New Roman"/>
          <w:b/>
          <w:bCs/>
          <w:color w:val="auto"/>
          <w:highlight w:val="none"/>
          <w:lang w:val="en-US" w:eastAsia="zh-CN"/>
        </w:rPr>
      </w:pPr>
      <w:r>
        <w:rPr>
          <w:rFonts w:ascii="Times New Roman" w:hAnsi="Times New Roman" w:eastAsia="宋体" w:cs="Times New Roman"/>
          <w:b w:val="0"/>
          <w:bCs w:val="0"/>
          <w:color w:val="auto"/>
          <w:highlight w:val="none"/>
          <w:lang w:val="en-US" w:eastAsia="zh-CN"/>
        </w:rPr>
        <w:t>表</w:t>
      </w:r>
      <w:r>
        <w:rPr>
          <w:rFonts w:hint="eastAsia" w:ascii="Times New Roman" w:hAnsi="Times New Roman" w:eastAsia="宋体" w:cs="Times New Roman"/>
          <w:b w:val="0"/>
          <w:bCs w:val="0"/>
          <w:color w:val="auto"/>
          <w:highlight w:val="none"/>
          <w:lang w:val="en-US" w:eastAsia="zh-CN"/>
        </w:rPr>
        <w:t>1.2-3  洋坑水库设计洪水成果比较表</w:t>
      </w:r>
    </w:p>
    <w:tbl>
      <w:tblPr>
        <w:tblStyle w:val="24"/>
        <w:tblpPr w:leftFromText="180" w:rightFromText="180" w:vertAnchor="text" w:horzAnchor="page" w:tblpXSpec="center" w:tblpY="123"/>
        <w:tblOverlap w:val="never"/>
        <w:tblW w:w="499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58"/>
        <w:gridCol w:w="2855"/>
        <w:gridCol w:w="24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1856" w:type="pct"/>
            <w:noWrap w:val="0"/>
            <w:vAlign w:val="center"/>
          </w:tcPr>
          <w:p>
            <w:pPr>
              <w:numPr>
                <w:ilvl w:val="0"/>
                <w:numId w:val="0"/>
              </w:numPr>
              <w:spacing w:line="240" w:lineRule="auto"/>
              <w:ind w:left="0"/>
              <w:jc w:val="center"/>
              <w:rPr>
                <w:rFonts w:ascii="宋体" w:hAnsi="宋体" w:cs="宋体"/>
                <w:color w:val="auto"/>
                <w:sz w:val="21"/>
                <w:szCs w:val="21"/>
                <w:highlight w:val="none"/>
              </w:rPr>
            </w:pPr>
            <w:r>
              <w:rPr>
                <w:rFonts w:hint="eastAsia" w:ascii="宋体" w:hAnsi="宋体" w:cs="宋体"/>
                <w:color w:val="auto"/>
                <w:sz w:val="21"/>
                <w:szCs w:val="21"/>
                <w:highlight w:val="none"/>
              </w:rPr>
              <w:t>计算方法</w:t>
            </w:r>
          </w:p>
        </w:tc>
        <w:tc>
          <w:tcPr>
            <w:tcW w:w="1678" w:type="pct"/>
            <w:noWrap w:val="0"/>
            <w:vAlign w:val="center"/>
          </w:tcPr>
          <w:p>
            <w:pPr>
              <w:numPr>
                <w:ilvl w:val="0"/>
                <w:numId w:val="0"/>
              </w:numPr>
              <w:spacing w:line="240" w:lineRule="auto"/>
              <w:ind w:left="0"/>
              <w:jc w:val="center"/>
              <w:rPr>
                <w:rFonts w:ascii="宋体" w:hAnsi="宋体" w:cs="宋体"/>
                <w:color w:val="auto"/>
                <w:sz w:val="21"/>
                <w:szCs w:val="21"/>
                <w:highlight w:val="none"/>
              </w:rPr>
            </w:pPr>
            <w:r>
              <w:rPr>
                <w:rFonts w:hint="eastAsia" w:ascii="宋体" w:hAnsi="宋体" w:cs="宋体"/>
                <w:color w:val="auto"/>
                <w:sz w:val="21"/>
                <w:szCs w:val="21"/>
                <w:highlight w:val="none"/>
              </w:rPr>
              <w:t>设计频率（%）</w:t>
            </w:r>
          </w:p>
        </w:tc>
        <w:tc>
          <w:tcPr>
            <w:tcW w:w="1464" w:type="pct"/>
            <w:noWrap w:val="0"/>
            <w:vAlign w:val="center"/>
          </w:tcPr>
          <w:p>
            <w:pPr>
              <w:numPr>
                <w:ilvl w:val="0"/>
                <w:numId w:val="0"/>
              </w:numPr>
              <w:spacing w:line="240" w:lineRule="auto"/>
              <w:ind w:left="0"/>
              <w:jc w:val="center"/>
              <w:rPr>
                <w:rFonts w:ascii="宋体" w:hAnsi="宋体" w:cs="宋体"/>
                <w:color w:val="auto"/>
                <w:sz w:val="21"/>
                <w:szCs w:val="21"/>
                <w:highlight w:val="none"/>
              </w:rPr>
            </w:pPr>
            <w:r>
              <w:rPr>
                <w:rFonts w:hint="eastAsia" w:ascii="宋体" w:hAnsi="宋体" w:cs="宋体"/>
                <w:color w:val="auto"/>
                <w:sz w:val="21"/>
                <w:szCs w:val="21"/>
                <w:highlight w:val="none"/>
              </w:rPr>
              <w:t>洪峰流量Qm（m</w:t>
            </w:r>
            <w:r>
              <w:rPr>
                <w:rFonts w:hint="eastAsia" w:ascii="宋体" w:hAnsi="宋体" w:cs="宋体"/>
                <w:color w:val="auto"/>
                <w:sz w:val="21"/>
                <w:szCs w:val="21"/>
                <w:highlight w:val="none"/>
                <w:vertAlign w:val="superscript"/>
              </w:rPr>
              <w:t>3</w:t>
            </w:r>
            <w:r>
              <w:rPr>
                <w:rFonts w:hint="eastAsia" w:ascii="宋体" w:hAnsi="宋体" w:cs="宋体"/>
                <w:color w:val="auto"/>
                <w:sz w:val="21"/>
                <w:szCs w:val="21"/>
                <w:highlight w:val="none"/>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6" w:type="pct"/>
            <w:vMerge w:val="restart"/>
            <w:noWrap w:val="0"/>
            <w:vAlign w:val="center"/>
          </w:tcPr>
          <w:p>
            <w:pPr>
              <w:numPr>
                <w:ilvl w:val="0"/>
                <w:numId w:val="0"/>
              </w:numPr>
              <w:spacing w:line="240" w:lineRule="auto"/>
              <w:ind w:left="0"/>
              <w:jc w:val="center"/>
              <w:rPr>
                <w:rFonts w:hint="eastAsia" w:ascii="Times New Roman" w:hAnsi="Times New Roman" w:eastAsia="宋体" w:cs="Times New Roman"/>
                <w:bCs/>
                <w:color w:val="auto"/>
                <w:sz w:val="21"/>
                <w:szCs w:val="16"/>
                <w:highlight w:val="none"/>
                <w:lang w:val="en-US" w:eastAsia="zh-CN" w:bidi="ar-SA"/>
              </w:rPr>
            </w:pPr>
            <w:r>
              <w:rPr>
                <w:rFonts w:hint="eastAsia" w:ascii="Times New Roman" w:hAnsi="Times New Roman" w:eastAsia="宋体" w:cs="Times New Roman"/>
                <w:bCs/>
                <w:color w:val="auto"/>
                <w:sz w:val="21"/>
                <w:szCs w:val="16"/>
                <w:highlight w:val="none"/>
                <w:lang w:val="en-US" w:eastAsia="zh-CN" w:bidi="ar-SA"/>
              </w:rPr>
              <w:t>综合单位线法</w:t>
            </w:r>
          </w:p>
          <w:p>
            <w:pPr>
              <w:numPr>
                <w:ilvl w:val="0"/>
                <w:numId w:val="0"/>
              </w:numPr>
              <w:spacing w:line="240" w:lineRule="auto"/>
              <w:ind w:left="0"/>
              <w:jc w:val="center"/>
              <w:rPr>
                <w:rFonts w:hint="eastAsia" w:eastAsia="宋体"/>
                <w:color w:val="auto"/>
                <w:highlight w:val="none"/>
                <w:lang w:eastAsia="zh-CN"/>
              </w:rPr>
            </w:pPr>
            <w:r>
              <w:rPr>
                <w:rFonts w:hint="eastAsia" w:ascii="宋体" w:hAnsi="宋体" w:cs="宋体"/>
                <w:b/>
                <w:bCs/>
                <w:color w:val="auto"/>
                <w:sz w:val="21"/>
                <w:szCs w:val="21"/>
                <w:highlight w:val="none"/>
                <w:lang w:eastAsia="zh-CN"/>
              </w:rPr>
              <w:t>（</w:t>
            </w:r>
            <w:r>
              <w:rPr>
                <w:rFonts w:hint="eastAsia" w:ascii="宋体" w:hAnsi="宋体" w:cs="宋体"/>
                <w:b/>
                <w:bCs/>
                <w:color w:val="auto"/>
                <w:sz w:val="21"/>
                <w:szCs w:val="21"/>
                <w:highlight w:val="none"/>
              </w:rPr>
              <w:t>本次</w:t>
            </w:r>
            <w:r>
              <w:rPr>
                <w:rFonts w:hint="eastAsia" w:ascii="宋体" w:hAnsi="宋体" w:cs="宋体"/>
                <w:b/>
                <w:bCs/>
                <w:color w:val="auto"/>
                <w:sz w:val="21"/>
                <w:szCs w:val="21"/>
                <w:highlight w:val="none"/>
                <w:lang w:val="en-US" w:eastAsia="zh-CN"/>
              </w:rPr>
              <w:t>初步采用设计成果</w:t>
            </w:r>
            <w:r>
              <w:rPr>
                <w:rFonts w:hint="eastAsia" w:ascii="宋体" w:hAnsi="宋体" w:cs="宋体"/>
                <w:b/>
                <w:bCs/>
                <w:color w:val="auto"/>
                <w:sz w:val="21"/>
                <w:szCs w:val="21"/>
                <w:highlight w:val="none"/>
                <w:lang w:eastAsia="zh-CN"/>
              </w:rPr>
              <w:t>）</w:t>
            </w:r>
          </w:p>
        </w:tc>
        <w:tc>
          <w:tcPr>
            <w:tcW w:w="1678" w:type="pct"/>
            <w:noWrap w:val="0"/>
            <w:vAlign w:val="center"/>
          </w:tcPr>
          <w:p>
            <w:pPr>
              <w:pStyle w:val="40"/>
              <w:widowControl w:val="0"/>
              <w:numPr>
                <w:ilvl w:val="0"/>
                <w:numId w:val="0"/>
              </w:numPr>
              <w:ind w:left="0"/>
              <w:jc w:val="center"/>
              <w:rPr>
                <w:color w:val="auto"/>
                <w:highlight w:val="none"/>
              </w:rPr>
            </w:pPr>
            <w:r>
              <w:rPr>
                <w:color w:val="auto"/>
                <w:highlight w:val="none"/>
              </w:rPr>
              <w:t>P=</w:t>
            </w:r>
            <w:r>
              <w:rPr>
                <w:rFonts w:hint="eastAsia"/>
                <w:color w:val="auto"/>
                <w:highlight w:val="none"/>
                <w:lang w:val="en-US" w:eastAsia="zh-CN"/>
              </w:rPr>
              <w:t>20</w:t>
            </w:r>
            <w:r>
              <w:rPr>
                <w:color w:val="auto"/>
                <w:highlight w:val="none"/>
              </w:rPr>
              <w:t>%</w:t>
            </w:r>
          </w:p>
        </w:tc>
        <w:tc>
          <w:tcPr>
            <w:tcW w:w="1464" w:type="pct"/>
            <w:noWrap w:val="0"/>
            <w:vAlign w:val="top"/>
          </w:tcPr>
          <w:p>
            <w:pPr>
              <w:pStyle w:val="40"/>
              <w:keepNext w:val="0"/>
              <w:keepLines w:val="0"/>
              <w:pageBreakBefore w:val="0"/>
              <w:widowControl/>
              <w:numPr>
                <w:ilvl w:val="0"/>
                <w:numId w:val="0"/>
              </w:numPr>
              <w:kinsoku/>
              <w:wordWrap/>
              <w:overflowPunct/>
              <w:topLinePunct w:val="0"/>
              <w:autoSpaceDE/>
              <w:autoSpaceDN/>
              <w:bidi w:val="0"/>
              <w:adjustRightInd/>
              <w:snapToGrid/>
              <w:ind w:left="0" w:firstLine="0" w:firstLineChars="0"/>
              <w:jc w:val="center"/>
              <w:rPr>
                <w:rFonts w:hint="eastAsia"/>
                <w:color w:val="auto"/>
                <w:highlight w:val="none"/>
              </w:rPr>
            </w:pPr>
            <w:r>
              <w:rPr>
                <w:rFonts w:hint="eastAsia"/>
                <w:color w:val="auto"/>
                <w:highlight w:val="none"/>
              </w:rPr>
              <w:t>183.95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6" w:type="pct"/>
            <w:vMerge w:val="continue"/>
            <w:noWrap w:val="0"/>
            <w:vAlign w:val="center"/>
          </w:tcPr>
          <w:p>
            <w:pPr>
              <w:numPr>
                <w:ilvl w:val="0"/>
                <w:numId w:val="0"/>
              </w:numPr>
              <w:spacing w:line="240" w:lineRule="auto"/>
              <w:ind w:left="0"/>
              <w:jc w:val="center"/>
              <w:rPr>
                <w:rFonts w:hint="eastAsia" w:ascii="宋体" w:hAnsi="宋体" w:cs="宋体"/>
                <w:color w:val="auto"/>
                <w:sz w:val="21"/>
                <w:szCs w:val="21"/>
                <w:highlight w:val="none"/>
              </w:rPr>
            </w:pPr>
          </w:p>
        </w:tc>
        <w:tc>
          <w:tcPr>
            <w:tcW w:w="1678" w:type="pct"/>
            <w:noWrap w:val="0"/>
            <w:vAlign w:val="center"/>
          </w:tcPr>
          <w:p>
            <w:pPr>
              <w:pStyle w:val="40"/>
              <w:widowControl w:val="0"/>
              <w:numPr>
                <w:ilvl w:val="0"/>
                <w:numId w:val="0"/>
              </w:numPr>
              <w:ind w:left="0" w:leftChars="0" w:firstLine="0" w:firstLineChars="0"/>
              <w:jc w:val="center"/>
              <w:rPr>
                <w:color w:val="auto"/>
                <w:highlight w:val="none"/>
              </w:rPr>
            </w:pPr>
            <w:r>
              <w:rPr>
                <w:color w:val="auto"/>
                <w:highlight w:val="none"/>
              </w:rPr>
              <w:t>P=</w:t>
            </w:r>
            <w:r>
              <w:rPr>
                <w:rFonts w:hint="eastAsia"/>
                <w:color w:val="auto"/>
                <w:highlight w:val="none"/>
              </w:rPr>
              <w:t>5</w:t>
            </w:r>
            <w:r>
              <w:rPr>
                <w:color w:val="auto"/>
                <w:highlight w:val="none"/>
              </w:rPr>
              <w:t>%</w:t>
            </w:r>
          </w:p>
        </w:tc>
        <w:tc>
          <w:tcPr>
            <w:tcW w:w="1464" w:type="pct"/>
            <w:noWrap w:val="0"/>
            <w:vAlign w:val="top"/>
          </w:tcPr>
          <w:p>
            <w:pPr>
              <w:pStyle w:val="40"/>
              <w:keepNext w:val="0"/>
              <w:keepLines w:val="0"/>
              <w:pageBreakBefore w:val="0"/>
              <w:widowControl/>
              <w:numPr>
                <w:ilvl w:val="0"/>
                <w:numId w:val="0"/>
              </w:numPr>
              <w:kinsoku/>
              <w:wordWrap/>
              <w:overflowPunct/>
              <w:topLinePunct w:val="0"/>
              <w:autoSpaceDE/>
              <w:autoSpaceDN/>
              <w:bidi w:val="0"/>
              <w:adjustRightInd/>
              <w:snapToGrid/>
              <w:ind w:left="0" w:leftChars="0" w:firstLine="0" w:firstLineChars="0"/>
              <w:jc w:val="center"/>
              <w:rPr>
                <w:rFonts w:hint="eastAsia"/>
                <w:color w:val="auto"/>
                <w:highlight w:val="none"/>
              </w:rPr>
            </w:pPr>
            <w:r>
              <w:rPr>
                <w:rFonts w:hint="eastAsia"/>
                <w:color w:val="auto"/>
                <w:highlight w:val="none"/>
              </w:rPr>
              <w:t>247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6" w:type="pct"/>
            <w:vMerge w:val="continue"/>
            <w:noWrap w:val="0"/>
            <w:vAlign w:val="center"/>
          </w:tcPr>
          <w:p>
            <w:pPr>
              <w:numPr>
                <w:ilvl w:val="0"/>
                <w:numId w:val="0"/>
              </w:numPr>
              <w:spacing w:line="240" w:lineRule="auto"/>
              <w:ind w:left="0"/>
              <w:jc w:val="center"/>
              <w:rPr>
                <w:rFonts w:hint="eastAsia" w:ascii="Times New Roman" w:hAnsi="Times New Roman" w:eastAsia="宋体" w:cs="Times New Roman"/>
                <w:bCs/>
                <w:color w:val="auto"/>
                <w:sz w:val="21"/>
                <w:szCs w:val="16"/>
                <w:highlight w:val="none"/>
                <w:lang w:val="en-US" w:eastAsia="zh-CN" w:bidi="ar-SA"/>
              </w:rPr>
            </w:pPr>
          </w:p>
        </w:tc>
        <w:tc>
          <w:tcPr>
            <w:tcW w:w="1678" w:type="pct"/>
            <w:noWrap w:val="0"/>
            <w:vAlign w:val="center"/>
          </w:tcPr>
          <w:p>
            <w:pPr>
              <w:pStyle w:val="40"/>
              <w:widowControl w:val="0"/>
              <w:numPr>
                <w:ilvl w:val="0"/>
                <w:numId w:val="0"/>
              </w:numPr>
              <w:ind w:left="0" w:leftChars="0" w:firstLine="0" w:firstLineChars="0"/>
              <w:jc w:val="center"/>
              <w:rPr>
                <w:rFonts w:hint="eastAsia" w:ascii="Times New Roman" w:hAnsi="Times New Roman" w:eastAsia="宋体" w:cs="Times New Roman"/>
                <w:bCs/>
                <w:color w:val="auto"/>
                <w:sz w:val="21"/>
                <w:szCs w:val="16"/>
                <w:highlight w:val="none"/>
                <w:lang w:val="en-US" w:eastAsia="zh-CN" w:bidi="ar-SA"/>
              </w:rPr>
            </w:pPr>
            <w:r>
              <w:rPr>
                <w:rFonts w:hint="eastAsia" w:ascii="Times New Roman" w:hAnsi="Times New Roman" w:eastAsia="宋体" w:cs="Times New Roman"/>
                <w:bCs/>
                <w:color w:val="auto"/>
                <w:sz w:val="21"/>
                <w:szCs w:val="16"/>
                <w:highlight w:val="none"/>
                <w:lang w:val="en-US" w:eastAsia="zh-CN" w:bidi="ar-SA"/>
              </w:rPr>
              <w:t>P=2%</w:t>
            </w:r>
          </w:p>
        </w:tc>
        <w:tc>
          <w:tcPr>
            <w:tcW w:w="1464" w:type="pct"/>
            <w:noWrap w:val="0"/>
            <w:vAlign w:val="top"/>
          </w:tcPr>
          <w:p>
            <w:pPr>
              <w:pStyle w:val="40"/>
              <w:keepNext w:val="0"/>
              <w:keepLines w:val="0"/>
              <w:pageBreakBefore w:val="0"/>
              <w:widowControl/>
              <w:numPr>
                <w:ilvl w:val="0"/>
                <w:numId w:val="0"/>
              </w:numPr>
              <w:kinsoku/>
              <w:wordWrap/>
              <w:overflowPunct/>
              <w:topLinePunct w:val="0"/>
              <w:autoSpaceDE/>
              <w:autoSpaceDN/>
              <w:bidi w:val="0"/>
              <w:adjustRightInd/>
              <w:snapToGrid/>
              <w:ind w:left="0" w:leftChars="0" w:firstLine="0" w:firstLineChars="0"/>
              <w:jc w:val="center"/>
              <w:rPr>
                <w:rFonts w:hint="eastAsia" w:ascii="Times New Roman" w:hAnsi="Times New Roman" w:eastAsia="宋体" w:cs="Times New Roman"/>
                <w:bCs/>
                <w:color w:val="auto"/>
                <w:sz w:val="21"/>
                <w:szCs w:val="16"/>
                <w:highlight w:val="none"/>
                <w:lang w:val="en-US" w:eastAsia="zh-CN" w:bidi="ar-SA"/>
              </w:rPr>
            </w:pPr>
            <w:r>
              <w:rPr>
                <w:rFonts w:hint="eastAsia" w:ascii="Times New Roman" w:hAnsi="Times New Roman" w:eastAsia="宋体" w:cs="Times New Roman"/>
                <w:bCs/>
                <w:color w:val="auto"/>
                <w:sz w:val="21"/>
                <w:szCs w:val="16"/>
                <w:highlight w:val="none"/>
                <w:lang w:val="en-US" w:eastAsia="zh-CN" w:bidi="ar-SA"/>
              </w:rPr>
              <w:t>285.83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6" w:type="pct"/>
            <w:vMerge w:val="continue"/>
            <w:noWrap w:val="0"/>
            <w:vAlign w:val="center"/>
          </w:tcPr>
          <w:p>
            <w:pPr>
              <w:numPr>
                <w:ilvl w:val="0"/>
                <w:numId w:val="0"/>
              </w:numPr>
              <w:spacing w:line="240" w:lineRule="auto"/>
              <w:ind w:left="0"/>
              <w:jc w:val="center"/>
              <w:rPr>
                <w:rFonts w:hint="eastAsia" w:ascii="Times New Roman" w:hAnsi="Times New Roman" w:eastAsia="宋体" w:cs="Times New Roman"/>
                <w:bCs/>
                <w:color w:val="auto"/>
                <w:sz w:val="21"/>
                <w:szCs w:val="16"/>
                <w:highlight w:val="none"/>
                <w:lang w:val="en-US" w:eastAsia="zh-CN" w:bidi="ar-SA"/>
              </w:rPr>
            </w:pPr>
          </w:p>
        </w:tc>
        <w:tc>
          <w:tcPr>
            <w:tcW w:w="1678" w:type="pct"/>
            <w:noWrap w:val="0"/>
            <w:vAlign w:val="center"/>
          </w:tcPr>
          <w:p>
            <w:pPr>
              <w:pStyle w:val="40"/>
              <w:widowControl w:val="0"/>
              <w:numPr>
                <w:ilvl w:val="0"/>
                <w:numId w:val="0"/>
              </w:numPr>
              <w:ind w:left="0" w:leftChars="0" w:firstLine="0" w:firstLineChars="0"/>
              <w:jc w:val="center"/>
              <w:rPr>
                <w:rFonts w:hint="eastAsia" w:ascii="Times New Roman" w:hAnsi="Times New Roman" w:eastAsia="宋体" w:cs="Times New Roman"/>
                <w:bCs/>
                <w:color w:val="auto"/>
                <w:sz w:val="21"/>
                <w:szCs w:val="16"/>
                <w:highlight w:val="none"/>
                <w:lang w:val="en-US" w:eastAsia="zh-CN" w:bidi="ar-SA"/>
              </w:rPr>
            </w:pPr>
            <w:r>
              <w:rPr>
                <w:rFonts w:hint="eastAsia" w:ascii="Times New Roman" w:hAnsi="Times New Roman" w:eastAsia="宋体" w:cs="Times New Roman"/>
                <w:bCs/>
                <w:color w:val="auto"/>
                <w:sz w:val="21"/>
                <w:szCs w:val="16"/>
                <w:highlight w:val="none"/>
                <w:lang w:val="en-US" w:eastAsia="zh-CN" w:bidi="ar-SA"/>
              </w:rPr>
              <w:t>P=0.2%</w:t>
            </w:r>
          </w:p>
        </w:tc>
        <w:tc>
          <w:tcPr>
            <w:tcW w:w="1464" w:type="pct"/>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Times New Roman" w:hAnsi="Times New Roman" w:eastAsia="宋体" w:cs="Times New Roman"/>
                <w:bCs/>
                <w:color w:val="auto"/>
                <w:sz w:val="21"/>
                <w:szCs w:val="16"/>
                <w:highlight w:val="none"/>
                <w:lang w:val="en-US" w:eastAsia="zh-CN" w:bidi="ar-SA"/>
              </w:rPr>
            </w:pPr>
            <w:r>
              <w:rPr>
                <w:rFonts w:hint="eastAsia" w:ascii="Times New Roman" w:hAnsi="Times New Roman" w:eastAsia="宋体" w:cs="Times New Roman"/>
                <w:bCs/>
                <w:color w:val="auto"/>
                <w:sz w:val="21"/>
                <w:szCs w:val="16"/>
                <w:highlight w:val="none"/>
                <w:lang w:val="en-US" w:eastAsia="zh-CN" w:bidi="ar-SA"/>
              </w:rPr>
              <w:t>379.08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6" w:type="pct"/>
            <w:vMerge w:val="continue"/>
            <w:noWrap w:val="0"/>
            <w:vAlign w:val="center"/>
          </w:tcPr>
          <w:p>
            <w:pPr>
              <w:pStyle w:val="40"/>
              <w:widowControl w:val="0"/>
              <w:ind w:left="1447"/>
              <w:jc w:val="both"/>
              <w:rPr>
                <w:rFonts w:hint="eastAsia" w:ascii="Times New Roman" w:hAnsi="Times New Roman" w:eastAsia="宋体" w:cs="Times New Roman"/>
                <w:bCs/>
                <w:color w:val="auto"/>
                <w:sz w:val="21"/>
                <w:szCs w:val="16"/>
                <w:highlight w:val="none"/>
                <w:lang w:val="en-US" w:eastAsia="zh-CN" w:bidi="ar-SA"/>
              </w:rPr>
            </w:pPr>
          </w:p>
        </w:tc>
        <w:tc>
          <w:tcPr>
            <w:tcW w:w="1678" w:type="pct"/>
            <w:noWrap w:val="0"/>
            <w:vAlign w:val="center"/>
          </w:tcPr>
          <w:p>
            <w:pPr>
              <w:pStyle w:val="40"/>
              <w:widowControl w:val="0"/>
              <w:numPr>
                <w:ilvl w:val="0"/>
                <w:numId w:val="0"/>
              </w:numPr>
              <w:ind w:left="0" w:leftChars="0" w:firstLine="0" w:firstLineChars="0"/>
              <w:jc w:val="center"/>
              <w:rPr>
                <w:rFonts w:hint="eastAsia" w:ascii="Times New Roman" w:hAnsi="Times New Roman" w:eastAsia="宋体" w:cs="Times New Roman"/>
                <w:bCs/>
                <w:color w:val="auto"/>
                <w:sz w:val="21"/>
                <w:szCs w:val="16"/>
                <w:highlight w:val="none"/>
                <w:lang w:val="en-US" w:eastAsia="zh-CN" w:bidi="ar-SA"/>
              </w:rPr>
            </w:pPr>
            <w:r>
              <w:rPr>
                <w:rFonts w:hint="eastAsia" w:ascii="Times New Roman" w:hAnsi="Times New Roman" w:eastAsia="宋体" w:cs="Times New Roman"/>
                <w:bCs/>
                <w:color w:val="auto"/>
                <w:sz w:val="21"/>
                <w:szCs w:val="16"/>
                <w:highlight w:val="none"/>
                <w:lang w:val="en-US" w:eastAsia="zh-CN" w:bidi="ar-SA"/>
              </w:rPr>
              <w:t>P=0.1%</w:t>
            </w:r>
          </w:p>
        </w:tc>
        <w:tc>
          <w:tcPr>
            <w:tcW w:w="1464" w:type="pct"/>
            <w:noWrap w:val="0"/>
            <w:vAlign w:val="top"/>
          </w:tcPr>
          <w:p>
            <w:pPr>
              <w:pStyle w:val="40"/>
              <w:keepNext w:val="0"/>
              <w:keepLines w:val="0"/>
              <w:pageBreakBefore w:val="0"/>
              <w:widowControl/>
              <w:numPr>
                <w:ilvl w:val="0"/>
                <w:numId w:val="0"/>
              </w:numPr>
              <w:kinsoku/>
              <w:wordWrap/>
              <w:overflowPunct/>
              <w:topLinePunct w:val="0"/>
              <w:autoSpaceDE/>
              <w:autoSpaceDN/>
              <w:bidi w:val="0"/>
              <w:adjustRightInd/>
              <w:snapToGrid/>
              <w:ind w:left="0" w:leftChars="0" w:firstLine="0" w:firstLineChars="0"/>
              <w:jc w:val="center"/>
              <w:rPr>
                <w:rFonts w:hint="eastAsia" w:ascii="Times New Roman" w:hAnsi="Times New Roman" w:eastAsia="宋体" w:cs="Times New Roman"/>
                <w:bCs/>
                <w:color w:val="auto"/>
                <w:sz w:val="21"/>
                <w:szCs w:val="16"/>
                <w:highlight w:val="none"/>
                <w:lang w:val="en-US" w:eastAsia="zh-CN" w:bidi="ar-SA"/>
              </w:rPr>
            </w:pPr>
            <w:r>
              <w:rPr>
                <w:rFonts w:hint="eastAsia" w:ascii="Times New Roman" w:hAnsi="Times New Roman" w:eastAsia="宋体" w:cs="Times New Roman"/>
                <w:bCs/>
                <w:color w:val="auto"/>
                <w:sz w:val="21"/>
                <w:szCs w:val="16"/>
                <w:highlight w:val="none"/>
                <w:lang w:val="en-US" w:eastAsia="zh-CN" w:bidi="ar-SA"/>
              </w:rPr>
              <w:t>406.35</w:t>
            </w:r>
          </w:p>
        </w:tc>
      </w:tr>
    </w:tbl>
    <w:p>
      <w:pPr>
        <w:pStyle w:val="5"/>
        <w:bidi w:val="0"/>
        <w:rPr>
          <w:rFonts w:hint="eastAsia"/>
          <w:color w:val="auto"/>
          <w:highlight w:val="none"/>
        </w:rPr>
      </w:pPr>
      <w:bookmarkStart w:id="26" w:name="_Toc192477094"/>
      <w:bookmarkStart w:id="27" w:name="_Toc7822"/>
      <w:bookmarkStart w:id="28" w:name="_Toc19020"/>
      <w:bookmarkStart w:id="29" w:name="_Toc12832"/>
      <w:bookmarkStart w:id="30" w:name="_Toc195418015"/>
      <w:r>
        <w:rPr>
          <w:rFonts w:hint="eastAsia"/>
          <w:color w:val="auto"/>
          <w:highlight w:val="none"/>
          <w:lang w:val="en-US" w:eastAsia="zh-CN"/>
        </w:rPr>
        <w:t>1.2.5</w:t>
      </w:r>
      <w:r>
        <w:rPr>
          <w:rFonts w:hint="eastAsia"/>
          <w:color w:val="auto"/>
          <w:highlight w:val="none"/>
        </w:rPr>
        <w:t>泥沙</w:t>
      </w:r>
      <w:bookmarkEnd w:id="26"/>
      <w:bookmarkEnd w:id="27"/>
      <w:bookmarkEnd w:id="28"/>
      <w:bookmarkEnd w:id="29"/>
      <w:bookmarkEnd w:id="30"/>
    </w:p>
    <w:p>
      <w:pPr>
        <w:bidi w:val="0"/>
        <w:rPr>
          <w:rFonts w:hint="eastAsia"/>
          <w:color w:val="auto"/>
          <w:highlight w:val="none"/>
          <w:lang w:eastAsia="zh-CN"/>
        </w:rPr>
      </w:pPr>
      <w:r>
        <w:rPr>
          <w:color w:val="auto"/>
          <w:highlight w:val="none"/>
        </w:rPr>
        <w:t>韩江流域的控制站潮安多年平均含沙量为0.29kg/m</w:t>
      </w:r>
      <w:r>
        <w:rPr>
          <w:color w:val="auto"/>
          <w:highlight w:val="none"/>
          <w:vertAlign w:val="superscript"/>
        </w:rPr>
        <w:t>3</w:t>
      </w:r>
      <w:r>
        <w:rPr>
          <w:color w:val="auto"/>
          <w:highlight w:val="none"/>
        </w:rPr>
        <w:t>，多年平均输沙量为686万t，推移质按悬移质输沙量的20%估算，为137.2万t/a，据此推算多年平均输沙量为823.2万t</w:t>
      </w:r>
      <w:r>
        <w:rPr>
          <w:rFonts w:hint="eastAsia"/>
          <w:color w:val="auto"/>
          <w:highlight w:val="none"/>
          <w:lang w:eastAsia="zh-CN"/>
        </w:rPr>
        <w:t>。</w:t>
      </w:r>
    </w:p>
    <w:p>
      <w:pPr>
        <w:pStyle w:val="2"/>
        <w:rPr>
          <w:rFonts w:hint="eastAsia"/>
          <w:color w:val="auto"/>
          <w:highlight w:val="none"/>
          <w:lang w:eastAsia="zh-CN"/>
        </w:rPr>
      </w:pPr>
    </w:p>
    <w:p>
      <w:pPr>
        <w:pStyle w:val="4"/>
        <w:bidi w:val="0"/>
        <w:rPr>
          <w:rFonts w:hint="eastAsia"/>
          <w:color w:val="auto"/>
          <w:highlight w:val="none"/>
          <w:lang w:val="en-US" w:eastAsia="zh-CN"/>
        </w:rPr>
      </w:pPr>
      <w:bookmarkStart w:id="31" w:name="_Toc2141329827"/>
      <w:r>
        <w:rPr>
          <w:rFonts w:hint="eastAsia"/>
          <w:color w:val="auto"/>
          <w:highlight w:val="none"/>
          <w:lang w:val="en-US" w:eastAsia="zh-CN"/>
        </w:rPr>
        <w:t>1.3工程地质</w:t>
      </w:r>
      <w:bookmarkEnd w:id="31"/>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480" w:firstLineChars="200"/>
        <w:jc w:val="both"/>
        <w:textAlignment w:val="auto"/>
        <w:outlineLvl w:val="9"/>
        <w:rPr>
          <w:rFonts w:hint="default"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lang w:eastAsia="zh-CN"/>
        </w:rPr>
        <w:t>除险加固阶段</w:t>
      </w:r>
      <w:r>
        <w:rPr>
          <w:rFonts w:hint="default" w:ascii="Times New Roman" w:hAnsi="Times New Roman" w:eastAsia="宋体" w:cs="Times New Roman"/>
          <w:color w:val="auto"/>
          <w:sz w:val="24"/>
          <w:szCs w:val="24"/>
          <w:highlight w:val="none"/>
        </w:rPr>
        <w:t>对</w:t>
      </w:r>
      <w:r>
        <w:rPr>
          <w:rFonts w:hint="eastAsia" w:ascii="Times New Roman" w:hAnsi="Times New Roman" w:eastAsia="宋体" w:cs="Times New Roman"/>
          <w:color w:val="auto"/>
          <w:sz w:val="24"/>
          <w:szCs w:val="24"/>
          <w:highlight w:val="none"/>
          <w:lang w:val="en-US" w:eastAsia="zh-CN"/>
        </w:rPr>
        <w:t>洋坑水库</w:t>
      </w:r>
      <w:r>
        <w:rPr>
          <w:rFonts w:hint="default" w:ascii="Times New Roman" w:hAnsi="Times New Roman" w:eastAsia="宋体" w:cs="Times New Roman"/>
          <w:color w:val="auto"/>
          <w:sz w:val="24"/>
          <w:szCs w:val="24"/>
          <w:highlight w:val="none"/>
        </w:rPr>
        <w:t>进行了</w:t>
      </w:r>
      <w:r>
        <w:rPr>
          <w:rFonts w:hint="eastAsia" w:ascii="Times New Roman" w:hAnsi="Times New Roman" w:eastAsia="宋体" w:cs="Times New Roman"/>
          <w:color w:val="auto"/>
          <w:sz w:val="24"/>
          <w:szCs w:val="24"/>
          <w:highlight w:val="none"/>
          <w:lang w:val="en-US" w:eastAsia="zh-CN"/>
        </w:rPr>
        <w:t>地质勘察，在大坝完成钻孔4个、在溢洪道完成钻孔4，并随钻孔进行注水试验，取土样进行室内试验等</w:t>
      </w:r>
      <w:r>
        <w:rPr>
          <w:rFonts w:hint="default" w:ascii="Times New Roman" w:hAnsi="Times New Roman" w:eastAsia="宋体" w:cs="Times New Roman"/>
          <w:color w:val="auto"/>
          <w:sz w:val="24"/>
          <w:szCs w:val="24"/>
          <w:highlight w:val="none"/>
        </w:rPr>
        <w:t>。</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表</w:t>
      </w:r>
      <w:r>
        <w:rPr>
          <w:rFonts w:hint="default" w:ascii="Times New Roman" w:hAnsi="Times New Roman" w:eastAsia="宋体" w:cs="Times New Roman"/>
          <w:color w:val="auto"/>
          <w:sz w:val="24"/>
          <w:szCs w:val="24"/>
          <w:highlight w:val="none"/>
          <w:lang w:val="en-US" w:eastAsia="zh-CN"/>
        </w:rPr>
        <w:t>1</w:t>
      </w:r>
      <w:r>
        <w:rPr>
          <w:rFonts w:hint="eastAsia" w:ascii="Times New Roman" w:hAnsi="Times New Roman" w:eastAsia="宋体" w:cs="Times New Roman"/>
          <w:color w:val="auto"/>
          <w:sz w:val="24"/>
          <w:szCs w:val="24"/>
          <w:highlight w:val="none"/>
          <w:lang w:val="en-US" w:eastAsia="zh-CN"/>
        </w:rPr>
        <w:t>.3</w:t>
      </w:r>
      <w:r>
        <w:rPr>
          <w:rFonts w:hint="default" w:ascii="Times New Roman" w:hAnsi="Times New Roman" w:eastAsia="宋体" w:cs="Times New Roman"/>
          <w:color w:val="auto"/>
          <w:sz w:val="24"/>
          <w:szCs w:val="24"/>
          <w:highlight w:val="none"/>
        </w:rPr>
        <w:t>-1   工程地质勘察</w:t>
      </w:r>
      <w:r>
        <w:rPr>
          <w:rFonts w:hint="eastAsia" w:ascii="Times New Roman" w:hAnsi="Times New Roman" w:eastAsia="宋体" w:cs="Times New Roman"/>
          <w:color w:val="auto"/>
          <w:sz w:val="24"/>
          <w:szCs w:val="24"/>
          <w:highlight w:val="none"/>
          <w:lang w:val="en-US" w:eastAsia="zh-CN"/>
        </w:rPr>
        <w:t>完成</w:t>
      </w:r>
      <w:r>
        <w:rPr>
          <w:rFonts w:hint="default" w:ascii="Times New Roman" w:hAnsi="Times New Roman" w:eastAsia="宋体" w:cs="Times New Roman"/>
          <w:color w:val="auto"/>
          <w:sz w:val="24"/>
          <w:szCs w:val="24"/>
          <w:highlight w:val="none"/>
        </w:rPr>
        <w:t>工作量表</w:t>
      </w:r>
    </w:p>
    <w:tbl>
      <w:tblPr>
        <w:tblStyle w:val="23"/>
        <w:tblW w:w="896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702"/>
        <w:gridCol w:w="1165"/>
        <w:gridCol w:w="2515"/>
        <w:gridCol w:w="1515"/>
        <w:gridCol w:w="1515"/>
        <w:gridCol w:w="155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00" w:hRule="atLeast"/>
          <w:tblHeader/>
          <w:jc w:val="center"/>
        </w:trPr>
        <w:tc>
          <w:tcPr>
            <w:tcW w:w="702" w:type="dxa"/>
            <w:noWrap w:val="0"/>
            <w:vAlign w:val="center"/>
          </w:tcPr>
          <w:p>
            <w:pPr>
              <w:keepNext w:val="0"/>
              <w:keepLines w:val="0"/>
              <w:pageBreakBefore w:val="0"/>
              <w:widowControl w:val="0"/>
              <w:kinsoku/>
              <w:wordWrap/>
              <w:overflowPunct/>
              <w:topLinePunct w:val="0"/>
              <w:autoSpaceDE/>
              <w:autoSpaceDN/>
              <w:bidi w:val="0"/>
              <w:adjustRightInd w:val="0"/>
              <w:snapToGrid w:val="0"/>
              <w:spacing w:before="78" w:beforeLines="25" w:after="78" w:afterLines="25" w:line="240" w:lineRule="atLeast"/>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序号</w:t>
            </w:r>
          </w:p>
        </w:tc>
        <w:tc>
          <w:tcPr>
            <w:tcW w:w="1165" w:type="dxa"/>
            <w:noWrap w:val="0"/>
            <w:vAlign w:val="center"/>
          </w:tcPr>
          <w:p>
            <w:pPr>
              <w:keepNext w:val="0"/>
              <w:keepLines w:val="0"/>
              <w:pageBreakBefore w:val="0"/>
              <w:widowControl w:val="0"/>
              <w:kinsoku/>
              <w:wordWrap/>
              <w:overflowPunct/>
              <w:topLinePunct w:val="0"/>
              <w:autoSpaceDE/>
              <w:autoSpaceDN/>
              <w:bidi w:val="0"/>
              <w:adjustRightInd w:val="0"/>
              <w:snapToGrid w:val="0"/>
              <w:spacing w:before="78" w:beforeLines="25" w:after="78" w:afterLines="25" w:line="240" w:lineRule="atLeast"/>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类别</w:t>
            </w:r>
          </w:p>
        </w:tc>
        <w:tc>
          <w:tcPr>
            <w:tcW w:w="2515" w:type="dxa"/>
            <w:noWrap w:val="0"/>
            <w:vAlign w:val="center"/>
          </w:tcPr>
          <w:p>
            <w:pPr>
              <w:keepNext w:val="0"/>
              <w:keepLines w:val="0"/>
              <w:pageBreakBefore w:val="0"/>
              <w:widowControl w:val="0"/>
              <w:kinsoku/>
              <w:wordWrap/>
              <w:overflowPunct/>
              <w:topLinePunct w:val="0"/>
              <w:autoSpaceDE/>
              <w:autoSpaceDN/>
              <w:bidi w:val="0"/>
              <w:adjustRightInd w:val="0"/>
              <w:snapToGrid w:val="0"/>
              <w:spacing w:before="78" w:beforeLines="25" w:after="78" w:afterLines="25" w:line="240" w:lineRule="atLeast"/>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项目</w:t>
            </w:r>
          </w:p>
        </w:tc>
        <w:tc>
          <w:tcPr>
            <w:tcW w:w="1515" w:type="dxa"/>
            <w:noWrap w:val="0"/>
            <w:vAlign w:val="center"/>
          </w:tcPr>
          <w:p>
            <w:pPr>
              <w:keepNext w:val="0"/>
              <w:keepLines w:val="0"/>
              <w:pageBreakBefore w:val="0"/>
              <w:widowControl w:val="0"/>
              <w:kinsoku/>
              <w:wordWrap/>
              <w:overflowPunct/>
              <w:topLinePunct w:val="0"/>
              <w:autoSpaceDE/>
              <w:autoSpaceDN/>
              <w:bidi w:val="0"/>
              <w:adjustRightInd w:val="0"/>
              <w:snapToGrid w:val="0"/>
              <w:spacing w:before="78" w:beforeLines="25" w:after="78" w:afterLines="25" w:line="240" w:lineRule="atLeast"/>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2008安全鉴定</w:t>
            </w:r>
          </w:p>
        </w:tc>
        <w:tc>
          <w:tcPr>
            <w:tcW w:w="1515" w:type="dxa"/>
            <w:noWrap w:val="0"/>
            <w:vAlign w:val="center"/>
          </w:tcPr>
          <w:p>
            <w:pPr>
              <w:keepNext w:val="0"/>
              <w:keepLines w:val="0"/>
              <w:pageBreakBefore w:val="0"/>
              <w:widowControl w:val="0"/>
              <w:kinsoku/>
              <w:wordWrap/>
              <w:overflowPunct/>
              <w:topLinePunct w:val="0"/>
              <w:autoSpaceDE/>
              <w:autoSpaceDN/>
              <w:bidi w:val="0"/>
              <w:adjustRightInd w:val="0"/>
              <w:snapToGrid w:val="0"/>
              <w:spacing w:before="78" w:beforeLines="25" w:after="78" w:afterLines="25" w:line="240" w:lineRule="atLeast"/>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2021安全鉴定</w:t>
            </w:r>
          </w:p>
        </w:tc>
        <w:tc>
          <w:tcPr>
            <w:tcW w:w="1551" w:type="dxa"/>
            <w:noWrap w:val="0"/>
            <w:vAlign w:val="top"/>
          </w:tcPr>
          <w:p>
            <w:pPr>
              <w:keepNext w:val="0"/>
              <w:keepLines w:val="0"/>
              <w:pageBreakBefore w:val="0"/>
              <w:widowControl w:val="0"/>
              <w:kinsoku/>
              <w:wordWrap/>
              <w:overflowPunct/>
              <w:topLinePunct w:val="0"/>
              <w:autoSpaceDE/>
              <w:autoSpaceDN/>
              <w:bidi w:val="0"/>
              <w:adjustRightInd w:val="0"/>
              <w:snapToGrid w:val="0"/>
              <w:spacing w:before="78" w:beforeLines="25" w:after="78" w:afterLines="25" w:line="240" w:lineRule="atLeast"/>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本阶段</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20" w:hRule="atLeast"/>
          <w:jc w:val="center"/>
        </w:trPr>
        <w:tc>
          <w:tcPr>
            <w:tcW w:w="702" w:type="dxa"/>
            <w:vMerge w:val="restart"/>
            <w:noWrap w:val="0"/>
            <w:vAlign w:val="center"/>
          </w:tcPr>
          <w:p>
            <w:pPr>
              <w:keepNext w:val="0"/>
              <w:keepLines w:val="0"/>
              <w:pageBreakBefore w:val="0"/>
              <w:widowControl w:val="0"/>
              <w:kinsoku/>
              <w:wordWrap/>
              <w:overflowPunct/>
              <w:topLinePunct w:val="0"/>
              <w:autoSpaceDE/>
              <w:autoSpaceDN/>
              <w:bidi w:val="0"/>
              <w:adjustRightInd w:val="0"/>
              <w:snapToGrid w:val="0"/>
              <w:spacing w:before="78" w:beforeLines="25" w:after="78" w:afterLines="25" w:line="240" w:lineRule="atLeast"/>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1</w:t>
            </w:r>
          </w:p>
        </w:tc>
        <w:tc>
          <w:tcPr>
            <w:tcW w:w="1165" w:type="dxa"/>
            <w:vMerge w:val="restart"/>
            <w:noWrap w:val="0"/>
            <w:vAlign w:val="center"/>
          </w:tcPr>
          <w:p>
            <w:pPr>
              <w:keepNext w:val="0"/>
              <w:keepLines w:val="0"/>
              <w:pageBreakBefore w:val="0"/>
              <w:widowControl w:val="0"/>
              <w:kinsoku/>
              <w:wordWrap/>
              <w:overflowPunct/>
              <w:topLinePunct w:val="0"/>
              <w:autoSpaceDE/>
              <w:autoSpaceDN/>
              <w:bidi w:val="0"/>
              <w:adjustRightInd w:val="0"/>
              <w:snapToGrid w:val="0"/>
              <w:spacing w:before="78" w:beforeLines="25" w:after="78" w:afterLines="25" w:line="240" w:lineRule="atLeast"/>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工程地质测绘</w:t>
            </w:r>
          </w:p>
        </w:tc>
        <w:tc>
          <w:tcPr>
            <w:tcW w:w="2515" w:type="dxa"/>
            <w:noWrap w:val="0"/>
            <w:vAlign w:val="center"/>
          </w:tcPr>
          <w:p>
            <w:pPr>
              <w:keepNext w:val="0"/>
              <w:keepLines w:val="0"/>
              <w:pageBreakBefore w:val="0"/>
              <w:widowControl w:val="0"/>
              <w:kinsoku/>
              <w:wordWrap/>
              <w:overflowPunct/>
              <w:topLinePunct w:val="0"/>
              <w:autoSpaceDE/>
              <w:autoSpaceDN/>
              <w:bidi w:val="0"/>
              <w:adjustRightInd w:val="0"/>
              <w:snapToGrid w:val="0"/>
              <w:spacing w:before="78" w:beforeLines="25" w:after="78" w:afterLines="25" w:line="240" w:lineRule="atLeast"/>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1:50000区域地质（km</w:t>
            </w:r>
            <w:r>
              <w:rPr>
                <w:rFonts w:hint="eastAsia" w:asciiTheme="minorEastAsia" w:hAnsiTheme="minorEastAsia" w:eastAsiaTheme="minorEastAsia" w:cstheme="minorEastAsia"/>
                <w:color w:val="auto"/>
                <w:sz w:val="21"/>
                <w:szCs w:val="21"/>
                <w:highlight w:val="none"/>
                <w:vertAlign w:val="superscript"/>
                <w:lang w:val="en-US" w:eastAsia="zh-CN"/>
              </w:rPr>
              <w:t>2</w:t>
            </w:r>
            <w:r>
              <w:rPr>
                <w:rFonts w:hint="eastAsia" w:asciiTheme="minorEastAsia" w:hAnsiTheme="minorEastAsia" w:eastAsiaTheme="minorEastAsia" w:cstheme="minorEastAsia"/>
                <w:color w:val="auto"/>
                <w:sz w:val="21"/>
                <w:szCs w:val="21"/>
                <w:highlight w:val="none"/>
                <w:lang w:val="en-US" w:eastAsia="zh-CN"/>
              </w:rPr>
              <w:t>）</w:t>
            </w:r>
          </w:p>
        </w:tc>
        <w:tc>
          <w:tcPr>
            <w:tcW w:w="1515" w:type="dxa"/>
            <w:noWrap w:val="0"/>
            <w:vAlign w:val="center"/>
          </w:tcPr>
          <w:p>
            <w:pPr>
              <w:keepNext w:val="0"/>
              <w:keepLines w:val="0"/>
              <w:pageBreakBefore w:val="0"/>
              <w:widowControl w:val="0"/>
              <w:kinsoku/>
              <w:wordWrap/>
              <w:overflowPunct/>
              <w:topLinePunct w:val="0"/>
              <w:autoSpaceDE/>
              <w:autoSpaceDN/>
              <w:bidi w:val="0"/>
              <w:adjustRightInd w:val="0"/>
              <w:snapToGrid w:val="0"/>
              <w:spacing w:before="78" w:beforeLines="25" w:after="78" w:afterLines="25" w:line="240" w:lineRule="atLeast"/>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p>
        </w:tc>
        <w:tc>
          <w:tcPr>
            <w:tcW w:w="1515" w:type="dxa"/>
            <w:noWrap w:val="0"/>
            <w:vAlign w:val="center"/>
          </w:tcPr>
          <w:p>
            <w:pPr>
              <w:keepNext w:val="0"/>
              <w:keepLines w:val="0"/>
              <w:pageBreakBefore w:val="0"/>
              <w:widowControl w:val="0"/>
              <w:kinsoku/>
              <w:wordWrap/>
              <w:overflowPunct/>
              <w:topLinePunct w:val="0"/>
              <w:autoSpaceDE/>
              <w:autoSpaceDN/>
              <w:bidi w:val="0"/>
              <w:adjustRightInd w:val="0"/>
              <w:snapToGrid w:val="0"/>
              <w:spacing w:before="78" w:beforeLines="25" w:after="78" w:afterLines="25" w:line="240" w:lineRule="atLeast"/>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w:t>
            </w:r>
          </w:p>
        </w:tc>
        <w:tc>
          <w:tcPr>
            <w:tcW w:w="1551" w:type="dxa"/>
            <w:noWrap w:val="0"/>
            <w:vAlign w:val="top"/>
          </w:tcPr>
          <w:p>
            <w:pPr>
              <w:keepNext w:val="0"/>
              <w:keepLines w:val="0"/>
              <w:pageBreakBefore w:val="0"/>
              <w:widowControl w:val="0"/>
              <w:kinsoku/>
              <w:wordWrap/>
              <w:overflowPunct/>
              <w:topLinePunct w:val="0"/>
              <w:autoSpaceDE/>
              <w:autoSpaceDN/>
              <w:bidi w:val="0"/>
              <w:adjustRightInd w:val="0"/>
              <w:snapToGrid w:val="0"/>
              <w:spacing w:before="78" w:beforeLines="25" w:after="78" w:afterLines="25" w:line="240" w:lineRule="atLeast"/>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200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20" w:hRule="atLeast"/>
          <w:jc w:val="center"/>
        </w:trPr>
        <w:tc>
          <w:tcPr>
            <w:tcW w:w="702"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before="78" w:beforeLines="25" w:after="78" w:afterLines="25" w:line="240" w:lineRule="atLeast"/>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p>
        </w:tc>
        <w:tc>
          <w:tcPr>
            <w:tcW w:w="1165"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before="78" w:beforeLines="25" w:after="78" w:afterLines="25" w:line="240" w:lineRule="atLeast"/>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p>
        </w:tc>
        <w:tc>
          <w:tcPr>
            <w:tcW w:w="2515" w:type="dxa"/>
            <w:noWrap w:val="0"/>
            <w:vAlign w:val="center"/>
          </w:tcPr>
          <w:p>
            <w:pPr>
              <w:keepNext w:val="0"/>
              <w:keepLines w:val="0"/>
              <w:pageBreakBefore w:val="0"/>
              <w:widowControl w:val="0"/>
              <w:kinsoku/>
              <w:wordWrap/>
              <w:overflowPunct/>
              <w:topLinePunct w:val="0"/>
              <w:autoSpaceDE/>
              <w:autoSpaceDN/>
              <w:bidi w:val="0"/>
              <w:adjustRightInd w:val="0"/>
              <w:snapToGrid w:val="0"/>
              <w:spacing w:before="78" w:beforeLines="25" w:after="78" w:afterLines="25" w:line="240" w:lineRule="atLeast"/>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1:5000库区（km</w:t>
            </w:r>
            <w:r>
              <w:rPr>
                <w:rFonts w:hint="eastAsia" w:asciiTheme="minorEastAsia" w:hAnsiTheme="minorEastAsia" w:eastAsiaTheme="minorEastAsia" w:cstheme="minorEastAsia"/>
                <w:color w:val="auto"/>
                <w:sz w:val="21"/>
                <w:szCs w:val="21"/>
                <w:highlight w:val="none"/>
                <w:vertAlign w:val="superscript"/>
                <w:lang w:val="en-US" w:eastAsia="zh-CN"/>
              </w:rPr>
              <w:t>2</w:t>
            </w:r>
            <w:r>
              <w:rPr>
                <w:rFonts w:hint="eastAsia" w:asciiTheme="minorEastAsia" w:hAnsiTheme="minorEastAsia" w:eastAsiaTheme="minorEastAsia" w:cstheme="minorEastAsia"/>
                <w:color w:val="auto"/>
                <w:sz w:val="21"/>
                <w:szCs w:val="21"/>
                <w:highlight w:val="none"/>
                <w:lang w:val="en-US" w:eastAsia="zh-CN"/>
              </w:rPr>
              <w:t>）</w:t>
            </w:r>
          </w:p>
        </w:tc>
        <w:tc>
          <w:tcPr>
            <w:tcW w:w="1515" w:type="dxa"/>
            <w:noWrap w:val="0"/>
            <w:vAlign w:val="center"/>
          </w:tcPr>
          <w:p>
            <w:pPr>
              <w:keepNext w:val="0"/>
              <w:keepLines w:val="0"/>
              <w:pageBreakBefore w:val="0"/>
              <w:widowControl w:val="0"/>
              <w:kinsoku/>
              <w:wordWrap/>
              <w:overflowPunct/>
              <w:topLinePunct w:val="0"/>
              <w:autoSpaceDE/>
              <w:autoSpaceDN/>
              <w:bidi w:val="0"/>
              <w:adjustRightInd w:val="0"/>
              <w:snapToGrid w:val="0"/>
              <w:spacing w:before="78" w:beforeLines="25" w:after="78" w:afterLines="25" w:line="240" w:lineRule="atLeast"/>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p>
        </w:tc>
        <w:tc>
          <w:tcPr>
            <w:tcW w:w="1515" w:type="dxa"/>
            <w:noWrap w:val="0"/>
            <w:vAlign w:val="center"/>
          </w:tcPr>
          <w:p>
            <w:pPr>
              <w:keepNext w:val="0"/>
              <w:keepLines w:val="0"/>
              <w:pageBreakBefore w:val="0"/>
              <w:widowControl w:val="0"/>
              <w:kinsoku/>
              <w:wordWrap/>
              <w:overflowPunct/>
              <w:topLinePunct w:val="0"/>
              <w:autoSpaceDE/>
              <w:autoSpaceDN/>
              <w:bidi w:val="0"/>
              <w:adjustRightInd w:val="0"/>
              <w:snapToGrid w:val="0"/>
              <w:spacing w:before="78" w:beforeLines="25" w:after="78" w:afterLines="25" w:line="240" w:lineRule="atLeast"/>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w:t>
            </w:r>
          </w:p>
        </w:tc>
        <w:tc>
          <w:tcPr>
            <w:tcW w:w="1551" w:type="dxa"/>
            <w:noWrap w:val="0"/>
            <w:vAlign w:val="top"/>
          </w:tcPr>
          <w:p>
            <w:pPr>
              <w:keepNext w:val="0"/>
              <w:keepLines w:val="0"/>
              <w:pageBreakBefore w:val="0"/>
              <w:widowControl w:val="0"/>
              <w:kinsoku/>
              <w:wordWrap/>
              <w:overflowPunct/>
              <w:topLinePunct w:val="0"/>
              <w:autoSpaceDE/>
              <w:autoSpaceDN/>
              <w:bidi w:val="0"/>
              <w:adjustRightInd w:val="0"/>
              <w:snapToGrid w:val="0"/>
              <w:spacing w:before="78" w:beforeLines="25" w:after="78" w:afterLines="25" w:line="240" w:lineRule="atLeast"/>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1.5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20" w:hRule="atLeast"/>
          <w:jc w:val="center"/>
        </w:trPr>
        <w:tc>
          <w:tcPr>
            <w:tcW w:w="702"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before="78" w:beforeLines="25" w:after="78" w:afterLines="25" w:line="240" w:lineRule="atLeast"/>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p>
        </w:tc>
        <w:tc>
          <w:tcPr>
            <w:tcW w:w="1165"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before="78" w:beforeLines="25" w:after="78" w:afterLines="25" w:line="240" w:lineRule="atLeast"/>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p>
        </w:tc>
        <w:tc>
          <w:tcPr>
            <w:tcW w:w="2515" w:type="dxa"/>
            <w:noWrap w:val="0"/>
            <w:vAlign w:val="center"/>
          </w:tcPr>
          <w:p>
            <w:pPr>
              <w:keepNext w:val="0"/>
              <w:keepLines w:val="0"/>
              <w:pageBreakBefore w:val="0"/>
              <w:widowControl w:val="0"/>
              <w:kinsoku/>
              <w:wordWrap/>
              <w:overflowPunct/>
              <w:topLinePunct w:val="0"/>
              <w:autoSpaceDE/>
              <w:autoSpaceDN/>
              <w:bidi w:val="0"/>
              <w:adjustRightInd w:val="0"/>
              <w:snapToGrid w:val="0"/>
              <w:spacing w:before="78" w:beforeLines="25" w:after="78" w:afterLines="25" w:line="240" w:lineRule="atLeast"/>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1:500坝址区（km</w:t>
            </w:r>
            <w:r>
              <w:rPr>
                <w:rFonts w:hint="eastAsia" w:asciiTheme="minorEastAsia" w:hAnsiTheme="minorEastAsia" w:eastAsiaTheme="minorEastAsia" w:cstheme="minorEastAsia"/>
                <w:color w:val="auto"/>
                <w:sz w:val="21"/>
                <w:szCs w:val="21"/>
                <w:highlight w:val="none"/>
                <w:vertAlign w:val="superscript"/>
                <w:lang w:val="en-US" w:eastAsia="zh-CN"/>
              </w:rPr>
              <w:t>2</w:t>
            </w:r>
            <w:r>
              <w:rPr>
                <w:rFonts w:hint="eastAsia" w:asciiTheme="minorEastAsia" w:hAnsiTheme="minorEastAsia" w:eastAsiaTheme="minorEastAsia" w:cstheme="minorEastAsia"/>
                <w:color w:val="auto"/>
                <w:sz w:val="21"/>
                <w:szCs w:val="21"/>
                <w:highlight w:val="none"/>
                <w:lang w:val="en-US" w:eastAsia="zh-CN"/>
              </w:rPr>
              <w:t>）</w:t>
            </w:r>
          </w:p>
        </w:tc>
        <w:tc>
          <w:tcPr>
            <w:tcW w:w="1515" w:type="dxa"/>
            <w:noWrap w:val="0"/>
            <w:vAlign w:val="center"/>
          </w:tcPr>
          <w:p>
            <w:pPr>
              <w:keepNext w:val="0"/>
              <w:keepLines w:val="0"/>
              <w:pageBreakBefore w:val="0"/>
              <w:widowControl w:val="0"/>
              <w:kinsoku/>
              <w:wordWrap/>
              <w:overflowPunct/>
              <w:topLinePunct w:val="0"/>
              <w:autoSpaceDE/>
              <w:autoSpaceDN/>
              <w:bidi w:val="0"/>
              <w:adjustRightInd w:val="0"/>
              <w:snapToGrid w:val="0"/>
              <w:spacing w:before="78" w:beforeLines="25" w:after="78" w:afterLines="25" w:line="240" w:lineRule="atLeast"/>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p>
        </w:tc>
        <w:tc>
          <w:tcPr>
            <w:tcW w:w="1515" w:type="dxa"/>
            <w:noWrap w:val="0"/>
            <w:vAlign w:val="center"/>
          </w:tcPr>
          <w:p>
            <w:pPr>
              <w:keepNext w:val="0"/>
              <w:keepLines w:val="0"/>
              <w:pageBreakBefore w:val="0"/>
              <w:widowControl w:val="0"/>
              <w:kinsoku/>
              <w:wordWrap/>
              <w:overflowPunct/>
              <w:topLinePunct w:val="0"/>
              <w:autoSpaceDE/>
              <w:autoSpaceDN/>
              <w:bidi w:val="0"/>
              <w:adjustRightInd w:val="0"/>
              <w:snapToGrid w:val="0"/>
              <w:spacing w:before="78" w:beforeLines="25" w:after="78" w:afterLines="25" w:line="240" w:lineRule="atLeast"/>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w:t>
            </w:r>
          </w:p>
        </w:tc>
        <w:tc>
          <w:tcPr>
            <w:tcW w:w="1551" w:type="dxa"/>
            <w:noWrap w:val="0"/>
            <w:vAlign w:val="top"/>
          </w:tcPr>
          <w:p>
            <w:pPr>
              <w:keepNext w:val="0"/>
              <w:keepLines w:val="0"/>
              <w:pageBreakBefore w:val="0"/>
              <w:widowControl w:val="0"/>
              <w:kinsoku/>
              <w:wordWrap/>
              <w:overflowPunct/>
              <w:topLinePunct w:val="0"/>
              <w:autoSpaceDE/>
              <w:autoSpaceDN/>
              <w:bidi w:val="0"/>
              <w:adjustRightInd w:val="0"/>
              <w:snapToGrid w:val="0"/>
              <w:spacing w:before="78" w:beforeLines="25" w:after="78" w:afterLines="25" w:line="240" w:lineRule="atLeast"/>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0.25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20" w:hRule="atLeast"/>
          <w:jc w:val="center"/>
        </w:trPr>
        <w:tc>
          <w:tcPr>
            <w:tcW w:w="702"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before="78" w:beforeLines="25" w:after="78" w:afterLines="25" w:line="240" w:lineRule="atLeast"/>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p>
        </w:tc>
        <w:tc>
          <w:tcPr>
            <w:tcW w:w="1165"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before="78" w:beforeLines="25" w:after="78" w:afterLines="25" w:line="240" w:lineRule="atLeast"/>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p>
        </w:tc>
        <w:tc>
          <w:tcPr>
            <w:tcW w:w="2515" w:type="dxa"/>
            <w:noWrap w:val="0"/>
            <w:vAlign w:val="center"/>
          </w:tcPr>
          <w:p>
            <w:pPr>
              <w:keepNext w:val="0"/>
              <w:keepLines w:val="0"/>
              <w:pageBreakBefore w:val="0"/>
              <w:widowControl w:val="0"/>
              <w:kinsoku/>
              <w:wordWrap/>
              <w:overflowPunct/>
              <w:topLinePunct w:val="0"/>
              <w:autoSpaceDE/>
              <w:autoSpaceDN/>
              <w:bidi w:val="0"/>
              <w:adjustRightInd w:val="0"/>
              <w:snapToGrid w:val="0"/>
              <w:spacing w:before="78" w:beforeLines="25" w:after="78" w:afterLines="25" w:line="240" w:lineRule="atLeast"/>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1:100剖面（km）</w:t>
            </w:r>
          </w:p>
        </w:tc>
        <w:tc>
          <w:tcPr>
            <w:tcW w:w="1515" w:type="dxa"/>
            <w:noWrap w:val="0"/>
            <w:vAlign w:val="center"/>
          </w:tcPr>
          <w:p>
            <w:pPr>
              <w:keepNext w:val="0"/>
              <w:keepLines w:val="0"/>
              <w:pageBreakBefore w:val="0"/>
              <w:widowControl w:val="0"/>
              <w:kinsoku/>
              <w:wordWrap/>
              <w:overflowPunct/>
              <w:topLinePunct w:val="0"/>
              <w:autoSpaceDE/>
              <w:autoSpaceDN/>
              <w:bidi w:val="0"/>
              <w:adjustRightInd w:val="0"/>
              <w:snapToGrid w:val="0"/>
              <w:spacing w:before="78" w:beforeLines="25" w:after="78" w:afterLines="25" w:line="240" w:lineRule="atLeast"/>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p>
        </w:tc>
        <w:tc>
          <w:tcPr>
            <w:tcW w:w="1515" w:type="dxa"/>
            <w:noWrap w:val="0"/>
            <w:vAlign w:val="center"/>
          </w:tcPr>
          <w:p>
            <w:pPr>
              <w:keepNext w:val="0"/>
              <w:keepLines w:val="0"/>
              <w:pageBreakBefore w:val="0"/>
              <w:widowControl w:val="0"/>
              <w:kinsoku/>
              <w:wordWrap/>
              <w:overflowPunct/>
              <w:topLinePunct w:val="0"/>
              <w:autoSpaceDE/>
              <w:autoSpaceDN/>
              <w:bidi w:val="0"/>
              <w:adjustRightInd w:val="0"/>
              <w:snapToGrid w:val="0"/>
              <w:spacing w:before="78" w:beforeLines="25" w:after="78" w:afterLines="25" w:line="240" w:lineRule="atLeast"/>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w:t>
            </w:r>
          </w:p>
        </w:tc>
        <w:tc>
          <w:tcPr>
            <w:tcW w:w="1551" w:type="dxa"/>
            <w:noWrap w:val="0"/>
            <w:vAlign w:val="top"/>
          </w:tcPr>
          <w:p>
            <w:pPr>
              <w:keepNext w:val="0"/>
              <w:keepLines w:val="0"/>
              <w:pageBreakBefore w:val="0"/>
              <w:widowControl w:val="0"/>
              <w:kinsoku/>
              <w:wordWrap/>
              <w:overflowPunct/>
              <w:topLinePunct w:val="0"/>
              <w:autoSpaceDE/>
              <w:autoSpaceDN/>
              <w:bidi w:val="0"/>
              <w:adjustRightInd w:val="0"/>
              <w:snapToGrid w:val="0"/>
              <w:spacing w:before="78" w:beforeLines="25" w:after="78" w:afterLines="25" w:line="240" w:lineRule="atLeast"/>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0.6</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00" w:hRule="atLeast"/>
          <w:jc w:val="center"/>
        </w:trPr>
        <w:tc>
          <w:tcPr>
            <w:tcW w:w="702" w:type="dxa"/>
            <w:noWrap w:val="0"/>
            <w:vAlign w:val="center"/>
          </w:tcPr>
          <w:p>
            <w:pPr>
              <w:keepNext w:val="0"/>
              <w:keepLines w:val="0"/>
              <w:pageBreakBefore w:val="0"/>
              <w:widowControl w:val="0"/>
              <w:kinsoku/>
              <w:wordWrap/>
              <w:overflowPunct/>
              <w:topLinePunct w:val="0"/>
              <w:autoSpaceDE/>
              <w:autoSpaceDN/>
              <w:bidi w:val="0"/>
              <w:adjustRightInd w:val="0"/>
              <w:snapToGrid w:val="0"/>
              <w:spacing w:before="78" w:beforeLines="25" w:after="78" w:afterLines="25" w:line="240" w:lineRule="atLeast"/>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2</w:t>
            </w:r>
          </w:p>
        </w:tc>
        <w:tc>
          <w:tcPr>
            <w:tcW w:w="1165" w:type="dxa"/>
            <w:noWrap w:val="0"/>
            <w:vAlign w:val="center"/>
          </w:tcPr>
          <w:p>
            <w:pPr>
              <w:keepNext w:val="0"/>
              <w:keepLines w:val="0"/>
              <w:pageBreakBefore w:val="0"/>
              <w:widowControl w:val="0"/>
              <w:kinsoku/>
              <w:wordWrap/>
              <w:overflowPunct/>
              <w:topLinePunct w:val="0"/>
              <w:autoSpaceDE/>
              <w:autoSpaceDN/>
              <w:bidi w:val="0"/>
              <w:adjustRightInd w:val="0"/>
              <w:snapToGrid w:val="0"/>
              <w:spacing w:before="78" w:beforeLines="25" w:after="78" w:afterLines="25" w:line="240" w:lineRule="atLeast"/>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勘探</w:t>
            </w:r>
          </w:p>
        </w:tc>
        <w:tc>
          <w:tcPr>
            <w:tcW w:w="2515" w:type="dxa"/>
            <w:noWrap w:val="0"/>
            <w:vAlign w:val="center"/>
          </w:tcPr>
          <w:p>
            <w:pPr>
              <w:keepNext w:val="0"/>
              <w:keepLines w:val="0"/>
              <w:pageBreakBefore w:val="0"/>
              <w:widowControl w:val="0"/>
              <w:kinsoku/>
              <w:wordWrap/>
              <w:overflowPunct/>
              <w:topLinePunct w:val="0"/>
              <w:autoSpaceDE/>
              <w:autoSpaceDN/>
              <w:bidi w:val="0"/>
              <w:adjustRightInd w:val="0"/>
              <w:snapToGrid w:val="0"/>
              <w:spacing w:before="78" w:beforeLines="25" w:after="78" w:afterLines="25" w:line="240" w:lineRule="atLeast"/>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钻探（m/孔）</w:t>
            </w:r>
          </w:p>
        </w:tc>
        <w:tc>
          <w:tcPr>
            <w:tcW w:w="1515" w:type="dxa"/>
            <w:noWrap w:val="0"/>
            <w:vAlign w:val="center"/>
          </w:tcPr>
          <w:p>
            <w:pPr>
              <w:keepNext w:val="0"/>
              <w:keepLines w:val="0"/>
              <w:pageBreakBefore w:val="0"/>
              <w:widowControl w:val="0"/>
              <w:kinsoku/>
              <w:wordWrap/>
              <w:overflowPunct/>
              <w:topLinePunct w:val="0"/>
              <w:autoSpaceDE/>
              <w:autoSpaceDN/>
              <w:bidi w:val="0"/>
              <w:adjustRightInd w:val="0"/>
              <w:snapToGrid w:val="0"/>
              <w:spacing w:before="78" w:beforeLines="25" w:after="78" w:afterLines="25" w:line="240" w:lineRule="atLeast"/>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3孔</w:t>
            </w:r>
          </w:p>
        </w:tc>
        <w:tc>
          <w:tcPr>
            <w:tcW w:w="1515" w:type="dxa"/>
            <w:noWrap w:val="0"/>
            <w:vAlign w:val="center"/>
          </w:tcPr>
          <w:p>
            <w:pPr>
              <w:keepNext w:val="0"/>
              <w:keepLines w:val="0"/>
              <w:pageBreakBefore w:val="0"/>
              <w:widowControl w:val="0"/>
              <w:kinsoku/>
              <w:wordWrap/>
              <w:overflowPunct/>
              <w:topLinePunct w:val="0"/>
              <w:autoSpaceDE/>
              <w:autoSpaceDN/>
              <w:bidi w:val="0"/>
              <w:adjustRightInd w:val="0"/>
              <w:snapToGrid w:val="0"/>
              <w:spacing w:before="78" w:beforeLines="25" w:after="78" w:afterLines="25" w:line="240" w:lineRule="atLeast"/>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86.8/3</w:t>
            </w:r>
          </w:p>
        </w:tc>
        <w:tc>
          <w:tcPr>
            <w:tcW w:w="1551" w:type="dxa"/>
            <w:noWrap w:val="0"/>
            <w:vAlign w:val="top"/>
          </w:tcPr>
          <w:p>
            <w:pPr>
              <w:keepNext w:val="0"/>
              <w:keepLines w:val="0"/>
              <w:pageBreakBefore w:val="0"/>
              <w:widowControl w:val="0"/>
              <w:kinsoku/>
              <w:wordWrap/>
              <w:overflowPunct/>
              <w:topLinePunct w:val="0"/>
              <w:autoSpaceDE/>
              <w:autoSpaceDN/>
              <w:bidi w:val="0"/>
              <w:adjustRightInd w:val="0"/>
              <w:snapToGrid w:val="0"/>
              <w:spacing w:before="78" w:beforeLines="25" w:after="78" w:afterLines="25" w:line="240" w:lineRule="atLeast"/>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192.2/8</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00" w:hRule="atLeast"/>
          <w:jc w:val="center"/>
        </w:trPr>
        <w:tc>
          <w:tcPr>
            <w:tcW w:w="702" w:type="dxa"/>
            <w:vMerge w:val="restart"/>
            <w:noWrap w:val="0"/>
            <w:vAlign w:val="center"/>
          </w:tcPr>
          <w:p>
            <w:pPr>
              <w:keepNext w:val="0"/>
              <w:keepLines w:val="0"/>
              <w:pageBreakBefore w:val="0"/>
              <w:widowControl w:val="0"/>
              <w:kinsoku/>
              <w:wordWrap/>
              <w:overflowPunct/>
              <w:topLinePunct w:val="0"/>
              <w:autoSpaceDE/>
              <w:autoSpaceDN/>
              <w:bidi w:val="0"/>
              <w:adjustRightInd w:val="0"/>
              <w:snapToGrid w:val="0"/>
              <w:spacing w:before="78" w:beforeLines="25" w:after="78" w:afterLines="25" w:line="240" w:lineRule="atLeast"/>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3</w:t>
            </w:r>
          </w:p>
        </w:tc>
        <w:tc>
          <w:tcPr>
            <w:tcW w:w="1165" w:type="dxa"/>
            <w:vMerge w:val="restart"/>
            <w:noWrap w:val="0"/>
            <w:vAlign w:val="center"/>
          </w:tcPr>
          <w:p>
            <w:pPr>
              <w:keepNext w:val="0"/>
              <w:keepLines w:val="0"/>
              <w:pageBreakBefore w:val="0"/>
              <w:widowControl w:val="0"/>
              <w:kinsoku/>
              <w:wordWrap/>
              <w:overflowPunct/>
              <w:topLinePunct w:val="0"/>
              <w:autoSpaceDE/>
              <w:autoSpaceDN/>
              <w:bidi w:val="0"/>
              <w:adjustRightInd w:val="0"/>
              <w:snapToGrid w:val="0"/>
              <w:spacing w:before="78" w:beforeLines="25" w:after="78" w:afterLines="25" w:line="240" w:lineRule="atLeast"/>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原位测试</w:t>
            </w:r>
          </w:p>
        </w:tc>
        <w:tc>
          <w:tcPr>
            <w:tcW w:w="2515" w:type="dxa"/>
            <w:noWrap w:val="0"/>
            <w:vAlign w:val="center"/>
          </w:tcPr>
          <w:p>
            <w:pPr>
              <w:keepNext w:val="0"/>
              <w:keepLines w:val="0"/>
              <w:pageBreakBefore w:val="0"/>
              <w:widowControl w:val="0"/>
              <w:kinsoku/>
              <w:wordWrap/>
              <w:overflowPunct/>
              <w:topLinePunct w:val="0"/>
              <w:autoSpaceDE/>
              <w:autoSpaceDN/>
              <w:bidi w:val="0"/>
              <w:adjustRightInd w:val="0"/>
              <w:snapToGrid w:val="0"/>
              <w:spacing w:before="78" w:beforeLines="25" w:after="78" w:afterLines="25" w:line="240" w:lineRule="atLeast"/>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标准贯入试验(次)</w:t>
            </w:r>
          </w:p>
        </w:tc>
        <w:tc>
          <w:tcPr>
            <w:tcW w:w="1515" w:type="dxa"/>
            <w:noWrap w:val="0"/>
            <w:vAlign w:val="center"/>
          </w:tcPr>
          <w:p>
            <w:pPr>
              <w:keepNext w:val="0"/>
              <w:keepLines w:val="0"/>
              <w:pageBreakBefore w:val="0"/>
              <w:widowControl w:val="0"/>
              <w:kinsoku/>
              <w:wordWrap/>
              <w:overflowPunct/>
              <w:topLinePunct w:val="0"/>
              <w:autoSpaceDE/>
              <w:autoSpaceDN/>
              <w:bidi w:val="0"/>
              <w:adjustRightInd w:val="0"/>
              <w:snapToGrid w:val="0"/>
              <w:spacing w:before="78" w:beforeLines="25" w:after="78" w:afterLines="25" w:line="240" w:lineRule="atLeast"/>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w:t>
            </w:r>
          </w:p>
        </w:tc>
        <w:tc>
          <w:tcPr>
            <w:tcW w:w="1515" w:type="dxa"/>
            <w:noWrap w:val="0"/>
            <w:vAlign w:val="center"/>
          </w:tcPr>
          <w:p>
            <w:pPr>
              <w:keepNext w:val="0"/>
              <w:keepLines w:val="0"/>
              <w:pageBreakBefore w:val="0"/>
              <w:widowControl w:val="0"/>
              <w:kinsoku/>
              <w:wordWrap/>
              <w:overflowPunct/>
              <w:topLinePunct w:val="0"/>
              <w:autoSpaceDE/>
              <w:autoSpaceDN/>
              <w:bidi w:val="0"/>
              <w:adjustRightInd w:val="0"/>
              <w:snapToGrid w:val="0"/>
              <w:spacing w:before="78" w:beforeLines="25" w:after="78" w:afterLines="25" w:line="240" w:lineRule="atLeast"/>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15</w:t>
            </w:r>
          </w:p>
        </w:tc>
        <w:tc>
          <w:tcPr>
            <w:tcW w:w="1551" w:type="dxa"/>
            <w:noWrap w:val="0"/>
            <w:vAlign w:val="center"/>
          </w:tcPr>
          <w:p>
            <w:pPr>
              <w:keepNext w:val="0"/>
              <w:keepLines w:val="0"/>
              <w:pageBreakBefore w:val="0"/>
              <w:widowControl w:val="0"/>
              <w:kinsoku/>
              <w:wordWrap/>
              <w:overflowPunct/>
              <w:topLinePunct w:val="0"/>
              <w:autoSpaceDE/>
              <w:autoSpaceDN/>
              <w:bidi w:val="0"/>
              <w:adjustRightInd w:val="0"/>
              <w:snapToGrid w:val="0"/>
              <w:spacing w:before="78" w:beforeLines="25" w:after="78" w:afterLines="25" w:line="240" w:lineRule="atLeast"/>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16</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00" w:hRule="atLeast"/>
          <w:jc w:val="center"/>
        </w:trPr>
        <w:tc>
          <w:tcPr>
            <w:tcW w:w="702"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before="78" w:beforeLines="25" w:after="78" w:afterLines="25" w:line="240" w:lineRule="atLeast"/>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p>
        </w:tc>
        <w:tc>
          <w:tcPr>
            <w:tcW w:w="1165"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before="78" w:beforeLines="25" w:after="78" w:afterLines="25" w:line="240" w:lineRule="atLeast"/>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p>
        </w:tc>
        <w:tc>
          <w:tcPr>
            <w:tcW w:w="2515" w:type="dxa"/>
            <w:noWrap w:val="0"/>
            <w:vAlign w:val="center"/>
          </w:tcPr>
          <w:p>
            <w:pPr>
              <w:keepNext w:val="0"/>
              <w:keepLines w:val="0"/>
              <w:pageBreakBefore w:val="0"/>
              <w:widowControl w:val="0"/>
              <w:kinsoku/>
              <w:wordWrap/>
              <w:overflowPunct/>
              <w:topLinePunct w:val="0"/>
              <w:autoSpaceDE/>
              <w:autoSpaceDN/>
              <w:bidi w:val="0"/>
              <w:adjustRightInd w:val="0"/>
              <w:snapToGrid w:val="0"/>
              <w:spacing w:before="78" w:beforeLines="25" w:after="78" w:afterLines="25" w:line="240" w:lineRule="atLeast"/>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注水试验（段）</w:t>
            </w:r>
          </w:p>
        </w:tc>
        <w:tc>
          <w:tcPr>
            <w:tcW w:w="1515" w:type="dxa"/>
            <w:noWrap w:val="0"/>
            <w:vAlign w:val="center"/>
          </w:tcPr>
          <w:p>
            <w:pPr>
              <w:keepNext w:val="0"/>
              <w:keepLines w:val="0"/>
              <w:pageBreakBefore w:val="0"/>
              <w:widowControl w:val="0"/>
              <w:kinsoku/>
              <w:wordWrap/>
              <w:overflowPunct/>
              <w:topLinePunct w:val="0"/>
              <w:autoSpaceDE/>
              <w:autoSpaceDN/>
              <w:bidi w:val="0"/>
              <w:adjustRightInd w:val="0"/>
              <w:snapToGrid w:val="0"/>
              <w:spacing w:before="78" w:beforeLines="25" w:after="78" w:afterLines="25" w:line="240" w:lineRule="atLeast"/>
              <w:ind w:firstLine="0" w:firstLineChars="0"/>
              <w:jc w:val="center"/>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lang w:val="en-US" w:eastAsia="zh-CN"/>
              </w:rPr>
              <w:t>11</w:t>
            </w:r>
          </w:p>
        </w:tc>
        <w:tc>
          <w:tcPr>
            <w:tcW w:w="1515" w:type="dxa"/>
            <w:noWrap w:val="0"/>
            <w:vAlign w:val="center"/>
          </w:tcPr>
          <w:p>
            <w:pPr>
              <w:keepNext w:val="0"/>
              <w:keepLines w:val="0"/>
              <w:pageBreakBefore w:val="0"/>
              <w:widowControl w:val="0"/>
              <w:kinsoku/>
              <w:wordWrap/>
              <w:overflowPunct/>
              <w:topLinePunct w:val="0"/>
              <w:autoSpaceDE/>
              <w:autoSpaceDN/>
              <w:bidi w:val="0"/>
              <w:adjustRightInd w:val="0"/>
              <w:snapToGrid w:val="0"/>
              <w:spacing w:before="78" w:beforeLines="25" w:after="78" w:afterLines="25" w:line="240" w:lineRule="atLeast"/>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13</w:t>
            </w:r>
          </w:p>
        </w:tc>
        <w:tc>
          <w:tcPr>
            <w:tcW w:w="1551" w:type="dxa"/>
            <w:noWrap w:val="0"/>
            <w:vAlign w:val="center"/>
          </w:tcPr>
          <w:p>
            <w:pPr>
              <w:keepNext w:val="0"/>
              <w:keepLines w:val="0"/>
              <w:pageBreakBefore w:val="0"/>
              <w:widowControl w:val="0"/>
              <w:kinsoku/>
              <w:wordWrap/>
              <w:overflowPunct/>
              <w:topLinePunct w:val="0"/>
              <w:autoSpaceDE/>
              <w:autoSpaceDN/>
              <w:bidi w:val="0"/>
              <w:adjustRightInd w:val="0"/>
              <w:snapToGrid w:val="0"/>
              <w:spacing w:before="78" w:beforeLines="25" w:after="78" w:afterLines="25" w:line="240" w:lineRule="atLeast"/>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24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00" w:hRule="atLeast"/>
          <w:jc w:val="center"/>
        </w:trPr>
        <w:tc>
          <w:tcPr>
            <w:tcW w:w="702" w:type="dxa"/>
            <w:noWrap w:val="0"/>
            <w:vAlign w:val="center"/>
          </w:tcPr>
          <w:p>
            <w:pPr>
              <w:keepNext w:val="0"/>
              <w:keepLines w:val="0"/>
              <w:pageBreakBefore w:val="0"/>
              <w:widowControl w:val="0"/>
              <w:kinsoku/>
              <w:wordWrap/>
              <w:overflowPunct/>
              <w:topLinePunct w:val="0"/>
              <w:autoSpaceDE/>
              <w:autoSpaceDN/>
              <w:bidi w:val="0"/>
              <w:adjustRightInd w:val="0"/>
              <w:snapToGrid w:val="0"/>
              <w:spacing w:before="78" w:beforeLines="25" w:after="78" w:afterLines="25" w:line="240" w:lineRule="atLeast"/>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4</w:t>
            </w:r>
          </w:p>
        </w:tc>
        <w:tc>
          <w:tcPr>
            <w:tcW w:w="1165" w:type="dxa"/>
            <w:noWrap w:val="0"/>
            <w:vAlign w:val="center"/>
          </w:tcPr>
          <w:p>
            <w:pPr>
              <w:keepNext w:val="0"/>
              <w:keepLines w:val="0"/>
              <w:pageBreakBefore w:val="0"/>
              <w:widowControl w:val="0"/>
              <w:kinsoku/>
              <w:wordWrap/>
              <w:overflowPunct/>
              <w:topLinePunct w:val="0"/>
              <w:autoSpaceDE/>
              <w:autoSpaceDN/>
              <w:bidi w:val="0"/>
              <w:adjustRightInd w:val="0"/>
              <w:snapToGrid w:val="0"/>
              <w:spacing w:before="78" w:beforeLines="25" w:after="78" w:afterLines="25" w:line="240" w:lineRule="atLeast"/>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取样及试验(件)</w:t>
            </w:r>
          </w:p>
        </w:tc>
        <w:tc>
          <w:tcPr>
            <w:tcW w:w="2515" w:type="dxa"/>
            <w:noWrap w:val="0"/>
            <w:vAlign w:val="center"/>
          </w:tcPr>
          <w:p>
            <w:pPr>
              <w:keepNext w:val="0"/>
              <w:keepLines w:val="0"/>
              <w:pageBreakBefore w:val="0"/>
              <w:widowControl w:val="0"/>
              <w:kinsoku/>
              <w:wordWrap/>
              <w:overflowPunct/>
              <w:topLinePunct w:val="0"/>
              <w:autoSpaceDE/>
              <w:autoSpaceDN/>
              <w:bidi w:val="0"/>
              <w:adjustRightInd w:val="0"/>
              <w:snapToGrid w:val="0"/>
              <w:spacing w:before="78" w:beforeLines="25" w:after="78" w:afterLines="25" w:line="240" w:lineRule="atLeast"/>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原状土/扰动土/水样</w:t>
            </w:r>
          </w:p>
        </w:tc>
        <w:tc>
          <w:tcPr>
            <w:tcW w:w="1515" w:type="dxa"/>
            <w:noWrap w:val="0"/>
            <w:vAlign w:val="center"/>
          </w:tcPr>
          <w:p>
            <w:pPr>
              <w:keepNext w:val="0"/>
              <w:keepLines w:val="0"/>
              <w:pageBreakBefore w:val="0"/>
              <w:widowControl w:val="0"/>
              <w:kinsoku/>
              <w:wordWrap/>
              <w:overflowPunct/>
              <w:topLinePunct w:val="0"/>
              <w:autoSpaceDE/>
              <w:autoSpaceDN/>
              <w:bidi w:val="0"/>
              <w:adjustRightInd w:val="0"/>
              <w:snapToGrid w:val="0"/>
              <w:spacing w:before="78" w:beforeLines="25" w:after="78" w:afterLines="25" w:line="240" w:lineRule="atLeast"/>
              <w:ind w:firstLine="0" w:firstLineChars="0"/>
              <w:jc w:val="center"/>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lang w:val="en-US" w:eastAsia="zh-CN"/>
              </w:rPr>
              <w:t>7</w:t>
            </w:r>
          </w:p>
        </w:tc>
        <w:tc>
          <w:tcPr>
            <w:tcW w:w="1515" w:type="dxa"/>
            <w:noWrap w:val="0"/>
            <w:vAlign w:val="center"/>
          </w:tcPr>
          <w:p>
            <w:pPr>
              <w:keepNext w:val="0"/>
              <w:keepLines w:val="0"/>
              <w:pageBreakBefore w:val="0"/>
              <w:widowControl w:val="0"/>
              <w:kinsoku/>
              <w:wordWrap/>
              <w:overflowPunct/>
              <w:topLinePunct w:val="0"/>
              <w:autoSpaceDE/>
              <w:autoSpaceDN/>
              <w:bidi w:val="0"/>
              <w:adjustRightInd w:val="0"/>
              <w:snapToGrid w:val="0"/>
              <w:spacing w:before="78" w:beforeLines="25" w:after="78" w:afterLines="25" w:line="240" w:lineRule="atLeast"/>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16/3/1</w:t>
            </w:r>
          </w:p>
        </w:tc>
        <w:tc>
          <w:tcPr>
            <w:tcW w:w="1551" w:type="dxa"/>
            <w:noWrap w:val="0"/>
            <w:vAlign w:val="center"/>
          </w:tcPr>
          <w:p>
            <w:pPr>
              <w:keepNext w:val="0"/>
              <w:keepLines w:val="0"/>
              <w:pageBreakBefore w:val="0"/>
              <w:widowControl w:val="0"/>
              <w:kinsoku/>
              <w:wordWrap/>
              <w:overflowPunct/>
              <w:topLinePunct w:val="0"/>
              <w:autoSpaceDE/>
              <w:autoSpaceDN/>
              <w:bidi w:val="0"/>
              <w:adjustRightInd w:val="0"/>
              <w:snapToGrid w:val="0"/>
              <w:spacing w:before="78" w:beforeLines="25" w:after="78" w:afterLines="25" w:line="240" w:lineRule="atLeast"/>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16/0/0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00" w:hRule="atLeast"/>
          <w:jc w:val="center"/>
        </w:trPr>
        <w:tc>
          <w:tcPr>
            <w:tcW w:w="702" w:type="dxa"/>
            <w:noWrap w:val="0"/>
            <w:vAlign w:val="center"/>
          </w:tcPr>
          <w:p>
            <w:pPr>
              <w:keepNext w:val="0"/>
              <w:keepLines w:val="0"/>
              <w:pageBreakBefore w:val="0"/>
              <w:widowControl w:val="0"/>
              <w:kinsoku/>
              <w:wordWrap/>
              <w:overflowPunct/>
              <w:topLinePunct w:val="0"/>
              <w:autoSpaceDE/>
              <w:autoSpaceDN/>
              <w:bidi w:val="0"/>
              <w:adjustRightInd w:val="0"/>
              <w:snapToGrid w:val="0"/>
              <w:spacing w:before="78" w:beforeLines="25" w:after="78" w:afterLines="25" w:line="240" w:lineRule="atLeast"/>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5</w:t>
            </w:r>
          </w:p>
        </w:tc>
        <w:tc>
          <w:tcPr>
            <w:tcW w:w="1165" w:type="dxa"/>
            <w:noWrap w:val="0"/>
            <w:vAlign w:val="center"/>
          </w:tcPr>
          <w:p>
            <w:pPr>
              <w:keepNext w:val="0"/>
              <w:keepLines w:val="0"/>
              <w:pageBreakBefore w:val="0"/>
              <w:widowControl w:val="0"/>
              <w:kinsoku/>
              <w:wordWrap/>
              <w:overflowPunct/>
              <w:topLinePunct w:val="0"/>
              <w:autoSpaceDE/>
              <w:autoSpaceDN/>
              <w:bidi w:val="0"/>
              <w:adjustRightInd w:val="0"/>
              <w:snapToGrid w:val="0"/>
              <w:spacing w:before="78" w:beforeLines="25" w:after="78" w:afterLines="25" w:line="240" w:lineRule="atLeast"/>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钻孔测量(组日)</w:t>
            </w:r>
          </w:p>
        </w:tc>
        <w:tc>
          <w:tcPr>
            <w:tcW w:w="2515" w:type="dxa"/>
            <w:noWrap w:val="0"/>
            <w:vAlign w:val="center"/>
          </w:tcPr>
          <w:p>
            <w:pPr>
              <w:keepNext w:val="0"/>
              <w:keepLines w:val="0"/>
              <w:pageBreakBefore w:val="0"/>
              <w:widowControl w:val="0"/>
              <w:kinsoku/>
              <w:wordWrap/>
              <w:overflowPunct/>
              <w:topLinePunct w:val="0"/>
              <w:autoSpaceDE/>
              <w:autoSpaceDN/>
              <w:bidi w:val="0"/>
              <w:adjustRightInd w:val="0"/>
              <w:snapToGrid w:val="0"/>
              <w:spacing w:before="78" w:beforeLines="25" w:after="78" w:afterLines="25" w:line="240" w:lineRule="atLeast"/>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钻孔放样</w:t>
            </w:r>
          </w:p>
        </w:tc>
        <w:tc>
          <w:tcPr>
            <w:tcW w:w="1515" w:type="dxa"/>
            <w:noWrap w:val="0"/>
            <w:vAlign w:val="center"/>
          </w:tcPr>
          <w:p>
            <w:pPr>
              <w:keepNext w:val="0"/>
              <w:keepLines w:val="0"/>
              <w:pageBreakBefore w:val="0"/>
              <w:widowControl w:val="0"/>
              <w:kinsoku/>
              <w:wordWrap/>
              <w:overflowPunct/>
              <w:topLinePunct w:val="0"/>
              <w:autoSpaceDE/>
              <w:autoSpaceDN/>
              <w:bidi w:val="0"/>
              <w:adjustRightInd w:val="0"/>
              <w:snapToGrid w:val="0"/>
              <w:spacing w:before="78" w:beforeLines="25" w:after="78" w:afterLines="25" w:line="240" w:lineRule="atLeast"/>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w:t>
            </w:r>
          </w:p>
        </w:tc>
        <w:tc>
          <w:tcPr>
            <w:tcW w:w="1515" w:type="dxa"/>
            <w:noWrap w:val="0"/>
            <w:vAlign w:val="center"/>
          </w:tcPr>
          <w:p>
            <w:pPr>
              <w:keepNext w:val="0"/>
              <w:keepLines w:val="0"/>
              <w:pageBreakBefore w:val="0"/>
              <w:widowControl w:val="0"/>
              <w:kinsoku/>
              <w:wordWrap/>
              <w:overflowPunct/>
              <w:topLinePunct w:val="0"/>
              <w:autoSpaceDE/>
              <w:autoSpaceDN/>
              <w:bidi w:val="0"/>
              <w:adjustRightInd w:val="0"/>
              <w:snapToGrid w:val="0"/>
              <w:spacing w:before="78" w:beforeLines="25" w:after="78" w:afterLines="25" w:line="240" w:lineRule="atLeast"/>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4</w:t>
            </w:r>
          </w:p>
        </w:tc>
        <w:tc>
          <w:tcPr>
            <w:tcW w:w="1551" w:type="dxa"/>
            <w:noWrap w:val="0"/>
            <w:vAlign w:val="center"/>
          </w:tcPr>
          <w:p>
            <w:pPr>
              <w:keepNext w:val="0"/>
              <w:keepLines w:val="0"/>
              <w:pageBreakBefore w:val="0"/>
              <w:widowControl w:val="0"/>
              <w:kinsoku/>
              <w:wordWrap/>
              <w:overflowPunct/>
              <w:topLinePunct w:val="0"/>
              <w:autoSpaceDE/>
              <w:autoSpaceDN/>
              <w:bidi w:val="0"/>
              <w:adjustRightInd w:val="0"/>
              <w:snapToGrid w:val="0"/>
              <w:spacing w:before="78" w:beforeLines="25" w:after="78" w:afterLines="25" w:line="240" w:lineRule="atLeast"/>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6</w:t>
            </w:r>
          </w:p>
        </w:tc>
      </w:tr>
    </w:tbl>
    <w:p>
      <w:pPr>
        <w:bidi w:val="0"/>
        <w:rPr>
          <w:rFonts w:hint="default"/>
          <w:color w:val="auto"/>
          <w:highlight w:val="none"/>
          <w:lang w:val="en-US" w:eastAsia="zh-CN"/>
        </w:rPr>
      </w:pPr>
      <w:r>
        <w:rPr>
          <w:rFonts w:hint="eastAsia"/>
          <w:color w:val="auto"/>
          <w:highlight w:val="none"/>
          <w:lang w:val="en-US" w:eastAsia="zh-CN"/>
        </w:rPr>
        <w:t>工程地质主要结论和建议：</w:t>
      </w:r>
    </w:p>
    <w:p>
      <w:pPr>
        <w:bidi w:val="0"/>
        <w:rPr>
          <w:rFonts w:hint="default"/>
          <w:color w:val="auto"/>
          <w:highlight w:val="none"/>
          <w:lang w:eastAsia="zh-CN"/>
        </w:rPr>
      </w:pPr>
      <w:r>
        <w:rPr>
          <w:rFonts w:hint="default"/>
          <w:color w:val="auto"/>
          <w:highlight w:val="none"/>
          <w:lang w:eastAsia="zh-CN"/>
        </w:rPr>
        <w:t>（1）洋坑水库大坝大坝填筑土最大厚度35.6m，粘性土为主，可塑为主。根据《建筑抗震设计规范》（GB 50011-2010），场地土的类型为中软土，工程场地类别属于Ⅱ类场地。根据《中国地震动参数区划图》(GB18306-2015)，工程区地震动参数取基本值，即地震动峰值加速度为0.10g、地震动反应谱特征周期为0.35s。参照《水电工程区域构造稳定性勘察技术规程》（NB/T 35098-2017）进行区域构造稳定性分级，本区构造稳定性较好。</w:t>
      </w:r>
    </w:p>
    <w:p>
      <w:pPr>
        <w:bidi w:val="0"/>
        <w:rPr>
          <w:rFonts w:hint="default"/>
          <w:color w:val="auto"/>
          <w:highlight w:val="none"/>
          <w:lang w:eastAsia="zh-CN"/>
        </w:rPr>
      </w:pPr>
      <w:r>
        <w:rPr>
          <w:rFonts w:hint="default"/>
          <w:color w:val="auto"/>
          <w:highlight w:val="none"/>
          <w:lang w:eastAsia="zh-CN"/>
        </w:rPr>
        <w:t>（2）洋坑水库蓄水运行以来，除局部山体表层坡积土受浪蚀引起少量侵蚀及崩岸外，未发现较大规模的边坡不稳定现象和明显的库岸变形，库岸边坡总体上稳定性较好。两岸山体较稳定，岩性属非可溶岩的相对隔水岩系，库区末发现强透水带通向库外，水库建成至今未发现库水有明显的外渗现象。水库库区小，库周山体植被茂盛，固体径流的来源少，库区淤积不严重。库内村庄房屋基础高程均高于水库大坝坝顶，故不存在水库淹没问题。</w:t>
      </w:r>
    </w:p>
    <w:p>
      <w:pPr>
        <w:bidi w:val="0"/>
        <w:rPr>
          <w:rFonts w:hint="default"/>
          <w:color w:val="auto"/>
          <w:highlight w:val="none"/>
          <w:lang w:eastAsia="zh-CN"/>
        </w:rPr>
      </w:pPr>
      <w:r>
        <w:rPr>
          <w:rFonts w:hint="default"/>
          <w:color w:val="auto"/>
          <w:highlight w:val="none"/>
          <w:lang w:eastAsia="zh-CN"/>
        </w:rPr>
        <w:t>（3）洋坑水库大坝为均质土坝，坝体填土主要由高～低液限粉土填筑而成，压缩系数0.24～0.59MPa-1，压实度83%～97%，平均87%；渗透系数5.70E-05～1.78E-03cm/s，平均3.02E-04cm/s，中等透水。大坝压实度及渗透性均不满足《碾压式土石坝设计规范》（SL274-2020）对均质坝渗透性的要求。建议进行灌浆处理，提高坝体密实度及防渗能力。</w:t>
      </w:r>
    </w:p>
    <w:p>
      <w:pPr>
        <w:bidi w:val="0"/>
        <w:rPr>
          <w:rFonts w:hint="default"/>
          <w:color w:val="auto"/>
          <w:highlight w:val="none"/>
          <w:lang w:eastAsia="zh-CN"/>
        </w:rPr>
      </w:pPr>
      <w:r>
        <w:rPr>
          <w:rFonts w:hint="default"/>
          <w:color w:val="auto"/>
          <w:highlight w:val="none"/>
          <w:lang w:eastAsia="zh-CN"/>
        </w:rPr>
        <w:t>（4）大坝背水坡浸润线偏高，排水棱体堵塞，排水棱体石料以强风化流纹岩为主，为较软岩，块度较小，质量差。建议拆除重建排水棱体。</w:t>
      </w:r>
    </w:p>
    <w:p>
      <w:pPr>
        <w:bidi w:val="0"/>
        <w:rPr>
          <w:rFonts w:hint="default"/>
          <w:color w:val="auto"/>
          <w:highlight w:val="none"/>
          <w:lang w:eastAsia="zh-CN"/>
        </w:rPr>
      </w:pPr>
      <w:r>
        <w:rPr>
          <w:rFonts w:hint="default"/>
          <w:color w:val="auto"/>
          <w:highlight w:val="none"/>
          <w:lang w:eastAsia="zh-CN"/>
        </w:rPr>
        <w:t>（6）坝址区坡残积土、全风化、弱风化岩总体为弱透水层，强风化岩为中等透水层。大坝两侧岸坡段坝基为坡残积土、全风化，抗滑稳定性较好，渗透性弱；大坝中部河谷深槽段坝基为强风化岩，抗滑稳定好，渗透性中等，建议对河谷深槽段坝基进行帷幕灌浆处理，灌浆深度建议进入弱风化岩3~5m。</w:t>
      </w:r>
    </w:p>
    <w:p>
      <w:pPr>
        <w:bidi w:val="0"/>
        <w:rPr>
          <w:rFonts w:hint="default"/>
          <w:color w:val="auto"/>
          <w:highlight w:val="none"/>
          <w:lang w:eastAsia="zh-CN"/>
        </w:rPr>
      </w:pPr>
      <w:r>
        <w:rPr>
          <w:rFonts w:hint="default"/>
          <w:color w:val="auto"/>
          <w:highlight w:val="none"/>
          <w:lang w:eastAsia="zh-CN"/>
        </w:rPr>
        <w:t>（7）溢洪道为原状山体开挖的泄水通道，底流消能。溢洪道地基及边坡为全风化～强风化流纹斑岩，采用漿砌石衬砌防护，局部砂浆勾缝脱落，长有杂草，现状基本稳定。消力池冲坑长约36m、宽约15m，底面为强风化岩，现状淤积碎石土，杂草丛生。建议对溢洪道底板及渠坡采用混凝土进行护衬。</w:t>
      </w:r>
    </w:p>
    <w:p>
      <w:pPr>
        <w:bidi w:val="0"/>
        <w:rPr>
          <w:rFonts w:hint="eastAsia"/>
          <w:color w:val="auto"/>
          <w:highlight w:val="none"/>
          <w:lang w:eastAsia="zh-CN"/>
        </w:rPr>
      </w:pPr>
      <w:r>
        <w:rPr>
          <w:rFonts w:hint="default"/>
          <w:color w:val="auto"/>
          <w:highlight w:val="none"/>
          <w:lang w:eastAsia="zh-CN"/>
        </w:rPr>
        <w:t xml:space="preserve">   （8）天然建筑材料：本工程需用天然建筑材料为砂料及石料，用量较小。砂料、石料开采政策性强，本地市场供应成熟稳定，适宜采用外购解决。调查的各外购场点砂料、石料质量较好，满足本工程需求，可作为本工程砂石料外购点。建议在施工阶段根据市场行情，选取质优价廉的外购点。同时由于外购材料的来源较复杂，利用过程中需加强质量监控。</w:t>
      </w:r>
    </w:p>
    <w:p>
      <w:pPr>
        <w:pStyle w:val="2"/>
        <w:rPr>
          <w:rFonts w:hint="default"/>
          <w:color w:val="auto"/>
          <w:highlight w:val="none"/>
          <w:lang w:val="en-US" w:eastAsia="zh-CN"/>
        </w:rPr>
      </w:pPr>
    </w:p>
    <w:p>
      <w:pPr>
        <w:pStyle w:val="4"/>
        <w:bidi w:val="0"/>
        <w:rPr>
          <w:rFonts w:hint="eastAsia"/>
          <w:color w:val="auto"/>
          <w:highlight w:val="none"/>
          <w:lang w:val="en-US" w:eastAsia="zh-CN"/>
        </w:rPr>
      </w:pPr>
      <w:bookmarkStart w:id="32" w:name="_Toc840086293"/>
      <w:r>
        <w:rPr>
          <w:rFonts w:hint="eastAsia"/>
          <w:color w:val="auto"/>
          <w:highlight w:val="none"/>
          <w:lang w:val="en-US" w:eastAsia="zh-CN"/>
        </w:rPr>
        <w:t>1.4工程任务与规模</w:t>
      </w:r>
      <w:bookmarkEnd w:id="32"/>
    </w:p>
    <w:p>
      <w:pPr>
        <w:pStyle w:val="5"/>
        <w:bidi w:val="0"/>
        <w:rPr>
          <w:rFonts w:hint="default"/>
          <w:color w:val="auto"/>
          <w:highlight w:val="none"/>
          <w:lang w:val="en-US" w:eastAsia="zh-CN"/>
        </w:rPr>
      </w:pPr>
      <w:r>
        <w:rPr>
          <w:rFonts w:hint="eastAsia"/>
          <w:color w:val="auto"/>
          <w:highlight w:val="none"/>
          <w:lang w:val="en-US" w:eastAsia="zh-CN"/>
        </w:rPr>
        <w:t>1.4.1工程任务</w:t>
      </w:r>
    </w:p>
    <w:p>
      <w:pPr>
        <w:bidi w:val="0"/>
        <w:rPr>
          <w:rFonts w:hint="eastAsia"/>
          <w:color w:val="auto"/>
          <w:highlight w:val="none"/>
          <w:lang w:val="en-US" w:eastAsia="zh-CN"/>
        </w:rPr>
      </w:pPr>
      <w:r>
        <w:rPr>
          <w:rFonts w:hint="eastAsia"/>
          <w:color w:val="auto"/>
          <w:highlight w:val="none"/>
          <w:lang w:val="en-US" w:eastAsia="zh-CN"/>
        </w:rPr>
        <w:t>洋坑水库灌溉下游农田面积5100亩，捍卫下游耕地7200亩，人口6.2万人，是一宗以灌溉为主，结合防洪、发电的小（1）型水库。</w:t>
      </w:r>
    </w:p>
    <w:p>
      <w:pPr>
        <w:bidi w:val="0"/>
        <w:rPr>
          <w:rFonts w:hint="eastAsia"/>
          <w:color w:val="auto"/>
          <w:highlight w:val="none"/>
          <w:lang w:val="en-US" w:eastAsia="zh-CN"/>
        </w:rPr>
      </w:pPr>
      <w:r>
        <w:rPr>
          <w:rFonts w:hint="eastAsia"/>
          <w:color w:val="auto"/>
          <w:highlight w:val="none"/>
          <w:lang w:val="en-US" w:eastAsia="zh-CN"/>
        </w:rPr>
        <w:t>本次工程对水库进行除险加固设计，确保水库能够安全运行，以消除工程隐患，充分发挥工程效益，保护人民财产安全。本次除险加固不改变原设计工程任务。</w:t>
      </w:r>
    </w:p>
    <w:p>
      <w:pPr>
        <w:bidi w:val="0"/>
        <w:rPr>
          <w:rFonts w:hint="eastAsia"/>
          <w:color w:val="auto"/>
          <w:highlight w:val="none"/>
          <w:lang w:val="en-US" w:eastAsia="zh-CN"/>
        </w:rPr>
      </w:pPr>
      <w:r>
        <w:rPr>
          <w:rFonts w:hint="eastAsia"/>
          <w:color w:val="auto"/>
          <w:highlight w:val="none"/>
          <w:lang w:val="en-US" w:eastAsia="zh-CN"/>
        </w:rPr>
        <w:t>本次除险加固主要工程建设内容为：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kern w:val="0"/>
          <w:sz w:val="24"/>
          <w:szCs w:val="24"/>
          <w:highlight w:val="none"/>
          <w:lang w:val="en-US" w:eastAsia="zh-CN" w:bidi="ar"/>
        </w:rPr>
      </w:pPr>
      <w:r>
        <w:rPr>
          <w:rFonts w:hint="eastAsia" w:ascii="Times New Roman" w:hAnsi="Times New Roman" w:eastAsia="宋体" w:cs="Times New Roman"/>
          <w:color w:val="auto"/>
          <w:kern w:val="0"/>
          <w:sz w:val="24"/>
          <w:szCs w:val="24"/>
          <w:highlight w:val="none"/>
          <w:lang w:val="en-US" w:eastAsia="zh-CN" w:bidi="ar"/>
        </w:rPr>
        <w:t>（1）大坝</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kern w:val="0"/>
          <w:sz w:val="24"/>
          <w:szCs w:val="24"/>
          <w:highlight w:val="none"/>
          <w:lang w:val="en-US" w:eastAsia="zh-CN" w:bidi="ar"/>
        </w:rPr>
      </w:pPr>
      <w:r>
        <w:rPr>
          <w:rFonts w:hint="eastAsia" w:ascii="Times New Roman" w:hAnsi="Times New Roman" w:eastAsia="宋体" w:cs="Times New Roman"/>
          <w:color w:val="auto"/>
          <w:kern w:val="0"/>
          <w:sz w:val="24"/>
          <w:szCs w:val="24"/>
          <w:highlight w:val="none"/>
          <w:lang w:val="en-US" w:eastAsia="zh-CN" w:bidi="ar"/>
        </w:rPr>
        <w:t>土坝为均质土坝，坝顶长度</w:t>
      </w:r>
      <w:r>
        <w:rPr>
          <w:rFonts w:hint="eastAsia" w:cs="Times New Roman"/>
          <w:color w:val="auto"/>
          <w:kern w:val="0"/>
          <w:sz w:val="24"/>
          <w:szCs w:val="24"/>
          <w:highlight w:val="none"/>
          <w:lang w:val="en-US" w:eastAsia="zh-CN" w:bidi="ar"/>
        </w:rPr>
        <w:t>189.22</w:t>
      </w:r>
      <w:r>
        <w:rPr>
          <w:rFonts w:hint="eastAsia" w:ascii="Times New Roman" w:hAnsi="Times New Roman" w:eastAsia="宋体" w:cs="Times New Roman"/>
          <w:color w:val="auto"/>
          <w:kern w:val="0"/>
          <w:sz w:val="24"/>
          <w:szCs w:val="24"/>
          <w:highlight w:val="none"/>
          <w:lang w:val="en-US" w:eastAsia="zh-CN" w:bidi="ar"/>
        </w:rPr>
        <w:t>m，坝顶高程230</w:t>
      </w:r>
      <w:r>
        <w:rPr>
          <w:rFonts w:hint="eastAsia" w:cs="Times New Roman"/>
          <w:color w:val="auto"/>
          <w:kern w:val="0"/>
          <w:sz w:val="24"/>
          <w:szCs w:val="24"/>
          <w:highlight w:val="none"/>
          <w:lang w:val="en-US" w:eastAsia="zh-CN" w:bidi="ar"/>
        </w:rPr>
        <w:t>.</w:t>
      </w:r>
      <w:r>
        <w:rPr>
          <w:rFonts w:hint="eastAsia" w:ascii="Times New Roman" w:hAnsi="Times New Roman" w:eastAsia="宋体" w:cs="Times New Roman"/>
          <w:color w:val="auto"/>
          <w:kern w:val="0"/>
          <w:sz w:val="24"/>
          <w:szCs w:val="24"/>
          <w:highlight w:val="none"/>
          <w:lang w:val="en-US" w:eastAsia="zh-CN" w:bidi="ar"/>
        </w:rPr>
        <w:t>60~231</w:t>
      </w:r>
      <w:r>
        <w:rPr>
          <w:rFonts w:hint="eastAsia" w:cs="Times New Roman"/>
          <w:color w:val="auto"/>
          <w:kern w:val="0"/>
          <w:sz w:val="24"/>
          <w:szCs w:val="24"/>
          <w:highlight w:val="none"/>
          <w:lang w:val="en-US" w:eastAsia="zh-CN" w:bidi="ar"/>
        </w:rPr>
        <w:t>.</w:t>
      </w:r>
      <w:r>
        <w:rPr>
          <w:rFonts w:hint="eastAsia" w:ascii="Times New Roman" w:hAnsi="Times New Roman" w:eastAsia="宋体" w:cs="Times New Roman"/>
          <w:color w:val="auto"/>
          <w:kern w:val="0"/>
          <w:sz w:val="24"/>
          <w:szCs w:val="24"/>
          <w:highlight w:val="none"/>
          <w:lang w:val="en-US" w:eastAsia="zh-CN" w:bidi="ar"/>
        </w:rPr>
        <w:t>20m，防浪墙顶高程232</w:t>
      </w:r>
      <w:r>
        <w:rPr>
          <w:rFonts w:hint="eastAsia" w:cs="Times New Roman"/>
          <w:color w:val="auto"/>
          <w:kern w:val="0"/>
          <w:sz w:val="24"/>
          <w:szCs w:val="24"/>
          <w:highlight w:val="none"/>
          <w:lang w:val="en-US" w:eastAsia="zh-CN" w:bidi="ar"/>
        </w:rPr>
        <w:t>.</w:t>
      </w:r>
      <w:r>
        <w:rPr>
          <w:rFonts w:hint="eastAsia" w:ascii="Times New Roman" w:hAnsi="Times New Roman" w:eastAsia="宋体" w:cs="Times New Roman"/>
          <w:color w:val="auto"/>
          <w:kern w:val="0"/>
          <w:sz w:val="24"/>
          <w:szCs w:val="24"/>
          <w:highlight w:val="none"/>
          <w:lang w:val="en-US" w:eastAsia="zh-CN" w:bidi="ar"/>
        </w:rPr>
        <w:t>08m，坝顶宽5</w:t>
      </w:r>
      <w:r>
        <w:rPr>
          <w:rFonts w:hint="eastAsia" w:cs="Times New Roman"/>
          <w:color w:val="auto"/>
          <w:kern w:val="0"/>
          <w:sz w:val="24"/>
          <w:szCs w:val="24"/>
          <w:highlight w:val="none"/>
          <w:lang w:val="en-US" w:eastAsia="zh-CN" w:bidi="ar"/>
        </w:rPr>
        <w:t>.</w:t>
      </w:r>
      <w:r>
        <w:rPr>
          <w:rFonts w:hint="eastAsia" w:ascii="Times New Roman" w:hAnsi="Times New Roman" w:eastAsia="宋体" w:cs="Times New Roman"/>
          <w:color w:val="auto"/>
          <w:kern w:val="0"/>
          <w:sz w:val="24"/>
          <w:szCs w:val="24"/>
          <w:highlight w:val="none"/>
          <w:lang w:val="en-US" w:eastAsia="zh-CN" w:bidi="ar"/>
        </w:rPr>
        <w:t>0m，最大坝高33</w:t>
      </w:r>
      <w:r>
        <w:rPr>
          <w:rFonts w:hint="eastAsia" w:cs="Times New Roman"/>
          <w:color w:val="auto"/>
          <w:kern w:val="0"/>
          <w:sz w:val="24"/>
          <w:szCs w:val="24"/>
          <w:highlight w:val="none"/>
          <w:lang w:val="en-US" w:eastAsia="zh-CN" w:bidi="ar"/>
        </w:rPr>
        <w:t>.</w:t>
      </w:r>
      <w:r>
        <w:rPr>
          <w:rFonts w:hint="eastAsia" w:ascii="Times New Roman" w:hAnsi="Times New Roman" w:eastAsia="宋体" w:cs="Times New Roman"/>
          <w:color w:val="auto"/>
          <w:kern w:val="0"/>
          <w:sz w:val="24"/>
          <w:szCs w:val="24"/>
          <w:highlight w:val="none"/>
          <w:lang w:val="en-US" w:eastAsia="zh-CN" w:bidi="ar"/>
        </w:rPr>
        <w:t>5m。</w:t>
      </w:r>
      <w:r>
        <w:rPr>
          <w:rFonts w:hint="eastAsia" w:cs="Times New Roman"/>
          <w:color w:val="auto"/>
          <w:kern w:val="0"/>
          <w:sz w:val="24"/>
          <w:szCs w:val="24"/>
          <w:highlight w:val="none"/>
          <w:lang w:val="en-US" w:eastAsia="zh-CN" w:bidi="ar"/>
        </w:rPr>
        <w:t>防浪墙主体结构完好，仅采用装饰砂浆抹面处理，部分未闭合段按原防浪墙型式新建61m防浪墙；拆除重建</w:t>
      </w:r>
      <w:r>
        <w:rPr>
          <w:rFonts w:hint="eastAsia" w:ascii="Times New Roman" w:hAnsi="Times New Roman" w:eastAsia="宋体" w:cs="Times New Roman"/>
          <w:color w:val="auto"/>
          <w:kern w:val="0"/>
          <w:sz w:val="24"/>
          <w:szCs w:val="24"/>
          <w:highlight w:val="none"/>
          <w:lang w:val="en-US" w:eastAsia="zh-CN" w:bidi="ar"/>
        </w:rPr>
        <w:t>上游</w:t>
      </w:r>
      <w:r>
        <w:rPr>
          <w:rFonts w:hint="eastAsia" w:cs="Times New Roman"/>
          <w:color w:val="auto"/>
          <w:kern w:val="0"/>
          <w:sz w:val="24"/>
          <w:szCs w:val="24"/>
          <w:highlight w:val="none"/>
          <w:lang w:val="en-US" w:eastAsia="zh-CN" w:bidi="ar"/>
        </w:rPr>
        <w:t>砼</w:t>
      </w:r>
      <w:r>
        <w:rPr>
          <w:rFonts w:hint="eastAsia" w:ascii="Times New Roman" w:hAnsi="Times New Roman" w:eastAsia="宋体" w:cs="Times New Roman"/>
          <w:color w:val="auto"/>
          <w:kern w:val="0"/>
          <w:sz w:val="24"/>
          <w:szCs w:val="24"/>
          <w:highlight w:val="none"/>
          <w:lang w:val="en-US" w:eastAsia="zh-CN" w:bidi="ar"/>
        </w:rPr>
        <w:t>护坡，</w:t>
      </w:r>
      <w:r>
        <w:rPr>
          <w:rFonts w:hint="eastAsia" w:cs="Times New Roman"/>
          <w:color w:val="auto"/>
          <w:kern w:val="0"/>
          <w:sz w:val="24"/>
          <w:szCs w:val="24"/>
          <w:highlight w:val="none"/>
          <w:lang w:val="en-US" w:eastAsia="zh-CN" w:bidi="ar"/>
        </w:rPr>
        <w:t>砼护坡厚100mm，下设100mm厚碎石垫层及100mm厚砂垫层</w:t>
      </w:r>
      <w:r>
        <w:rPr>
          <w:rFonts w:hint="eastAsia" w:ascii="Times New Roman" w:hAnsi="Times New Roman" w:eastAsia="宋体" w:cs="Times New Roman"/>
          <w:color w:val="auto"/>
          <w:kern w:val="0"/>
          <w:sz w:val="24"/>
          <w:szCs w:val="24"/>
          <w:highlight w:val="none"/>
          <w:lang w:val="en-US" w:eastAsia="zh-CN" w:bidi="ar"/>
        </w:rPr>
        <w:t>，坡比1</w:t>
      </w:r>
      <w:r>
        <w:rPr>
          <w:rFonts w:hint="eastAsia" w:cs="Times New Roman"/>
          <w:color w:val="auto"/>
          <w:kern w:val="0"/>
          <w:sz w:val="24"/>
          <w:szCs w:val="24"/>
          <w:highlight w:val="none"/>
          <w:lang w:val="en-US" w:eastAsia="zh-CN" w:bidi="ar"/>
        </w:rPr>
        <w:t>：</w:t>
      </w:r>
      <w:r>
        <w:rPr>
          <w:rFonts w:hint="eastAsia" w:ascii="Times New Roman" w:hAnsi="Times New Roman" w:eastAsia="宋体" w:cs="Times New Roman"/>
          <w:color w:val="auto"/>
          <w:kern w:val="0"/>
          <w:sz w:val="24"/>
          <w:szCs w:val="24"/>
          <w:highlight w:val="none"/>
          <w:lang w:val="en-US" w:eastAsia="zh-CN" w:bidi="ar"/>
        </w:rPr>
        <w:t>2</w:t>
      </w:r>
      <w:r>
        <w:rPr>
          <w:rFonts w:hint="eastAsia" w:cs="Times New Roman"/>
          <w:color w:val="auto"/>
          <w:kern w:val="0"/>
          <w:sz w:val="24"/>
          <w:szCs w:val="24"/>
          <w:highlight w:val="none"/>
          <w:lang w:val="en-US" w:eastAsia="zh-CN" w:bidi="ar"/>
        </w:rPr>
        <w:t>.</w:t>
      </w:r>
      <w:r>
        <w:rPr>
          <w:rFonts w:hint="eastAsia" w:ascii="Times New Roman" w:hAnsi="Times New Roman" w:eastAsia="宋体" w:cs="Times New Roman"/>
          <w:color w:val="auto"/>
          <w:kern w:val="0"/>
          <w:sz w:val="24"/>
          <w:szCs w:val="24"/>
          <w:highlight w:val="none"/>
          <w:lang w:val="en-US" w:eastAsia="zh-CN" w:bidi="ar"/>
        </w:rPr>
        <w:t>7；下游重新铺设草皮护坡，于▽222</w:t>
      </w:r>
      <w:r>
        <w:rPr>
          <w:rFonts w:hint="eastAsia" w:cs="Times New Roman"/>
          <w:color w:val="auto"/>
          <w:kern w:val="0"/>
          <w:sz w:val="24"/>
          <w:szCs w:val="24"/>
          <w:highlight w:val="none"/>
          <w:lang w:val="en-US" w:eastAsia="zh-CN" w:bidi="ar"/>
        </w:rPr>
        <w:t>.</w:t>
      </w:r>
      <w:r>
        <w:rPr>
          <w:rFonts w:hint="eastAsia" w:ascii="Times New Roman" w:hAnsi="Times New Roman" w:eastAsia="宋体" w:cs="Times New Roman"/>
          <w:color w:val="auto"/>
          <w:kern w:val="0"/>
          <w:sz w:val="24"/>
          <w:szCs w:val="24"/>
          <w:highlight w:val="none"/>
          <w:lang w:val="en-US" w:eastAsia="zh-CN" w:bidi="ar"/>
        </w:rPr>
        <w:t>86m、▽212</w:t>
      </w:r>
      <w:r>
        <w:rPr>
          <w:rFonts w:hint="eastAsia" w:cs="Times New Roman"/>
          <w:color w:val="auto"/>
          <w:kern w:val="0"/>
          <w:sz w:val="24"/>
          <w:szCs w:val="24"/>
          <w:highlight w:val="none"/>
          <w:lang w:val="en-US" w:eastAsia="zh-CN" w:bidi="ar"/>
        </w:rPr>
        <w:t>.</w:t>
      </w:r>
      <w:r>
        <w:rPr>
          <w:rFonts w:hint="eastAsia" w:ascii="Times New Roman" w:hAnsi="Times New Roman" w:eastAsia="宋体" w:cs="Times New Roman"/>
          <w:color w:val="auto"/>
          <w:kern w:val="0"/>
          <w:sz w:val="24"/>
          <w:szCs w:val="24"/>
          <w:highlight w:val="none"/>
          <w:lang w:val="en-US" w:eastAsia="zh-CN" w:bidi="ar"/>
        </w:rPr>
        <w:t>63m高程处重建马道，各级坡比均为1</w:t>
      </w:r>
      <w:r>
        <w:rPr>
          <w:rFonts w:hint="eastAsia" w:cs="Times New Roman"/>
          <w:color w:val="auto"/>
          <w:kern w:val="0"/>
          <w:sz w:val="24"/>
          <w:szCs w:val="24"/>
          <w:highlight w:val="none"/>
          <w:lang w:val="en-US" w:eastAsia="zh-CN" w:bidi="ar"/>
        </w:rPr>
        <w:t>：</w:t>
      </w:r>
      <w:r>
        <w:rPr>
          <w:rFonts w:hint="eastAsia" w:ascii="Times New Roman" w:hAnsi="Times New Roman" w:eastAsia="宋体" w:cs="Times New Roman"/>
          <w:color w:val="auto"/>
          <w:kern w:val="0"/>
          <w:sz w:val="24"/>
          <w:szCs w:val="24"/>
          <w:highlight w:val="none"/>
          <w:lang w:val="en-US" w:eastAsia="zh-CN" w:bidi="ar"/>
        </w:rPr>
        <w:t>2</w:t>
      </w:r>
      <w:r>
        <w:rPr>
          <w:rFonts w:hint="eastAsia" w:cs="Times New Roman"/>
          <w:color w:val="auto"/>
          <w:kern w:val="0"/>
          <w:sz w:val="24"/>
          <w:szCs w:val="24"/>
          <w:highlight w:val="none"/>
          <w:lang w:val="en-US" w:eastAsia="zh-CN" w:bidi="ar"/>
        </w:rPr>
        <w:t>.</w:t>
      </w:r>
      <w:r>
        <w:rPr>
          <w:rFonts w:hint="eastAsia" w:ascii="Times New Roman" w:hAnsi="Times New Roman" w:eastAsia="宋体" w:cs="Times New Roman"/>
          <w:color w:val="auto"/>
          <w:kern w:val="0"/>
          <w:sz w:val="24"/>
          <w:szCs w:val="24"/>
          <w:highlight w:val="none"/>
          <w:lang w:val="en-US" w:eastAsia="zh-CN" w:bidi="ar"/>
        </w:rPr>
        <w:t>5；重建坝身排水设施；拆除重建</w:t>
      </w:r>
      <w:r>
        <w:rPr>
          <w:rFonts w:hint="eastAsia" w:cs="Times New Roman"/>
          <w:color w:val="auto"/>
          <w:kern w:val="0"/>
          <w:sz w:val="24"/>
          <w:szCs w:val="24"/>
          <w:highlight w:val="none"/>
          <w:lang w:val="en-US" w:eastAsia="zh-CN" w:bidi="ar"/>
        </w:rPr>
        <w:t>50%</w:t>
      </w:r>
      <w:r>
        <w:rPr>
          <w:rFonts w:hint="eastAsia" w:ascii="Times New Roman" w:hAnsi="Times New Roman" w:eastAsia="宋体" w:cs="Times New Roman"/>
          <w:color w:val="auto"/>
          <w:kern w:val="0"/>
          <w:sz w:val="24"/>
          <w:szCs w:val="24"/>
          <w:highlight w:val="none"/>
          <w:lang w:val="en-US" w:eastAsia="zh-CN" w:bidi="ar"/>
        </w:rPr>
        <w:t>排水棱体；新建量水堰等。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kern w:val="0"/>
          <w:sz w:val="24"/>
          <w:szCs w:val="24"/>
          <w:highlight w:val="none"/>
          <w:lang w:val="en-US" w:eastAsia="zh-CN" w:bidi="ar"/>
        </w:rPr>
      </w:pPr>
      <w:r>
        <w:rPr>
          <w:rFonts w:hint="eastAsia" w:ascii="Times New Roman" w:hAnsi="Times New Roman" w:eastAsia="宋体" w:cs="Times New Roman"/>
          <w:color w:val="auto"/>
          <w:kern w:val="0"/>
          <w:sz w:val="24"/>
          <w:szCs w:val="24"/>
          <w:highlight w:val="none"/>
          <w:lang w:val="en-US" w:eastAsia="zh-CN" w:bidi="ar"/>
        </w:rPr>
        <w:t>（2）溢洪道</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kern w:val="0"/>
          <w:sz w:val="24"/>
          <w:szCs w:val="24"/>
          <w:highlight w:val="none"/>
          <w:lang w:val="en-US" w:eastAsia="zh-CN" w:bidi="ar"/>
        </w:rPr>
      </w:pPr>
      <w:r>
        <w:rPr>
          <w:rFonts w:hint="default" w:ascii="Times New Roman" w:hAnsi="Times New Roman" w:eastAsia="宋体" w:cs="Times New Roman"/>
          <w:color w:val="auto"/>
          <w:kern w:val="0"/>
          <w:sz w:val="24"/>
          <w:szCs w:val="24"/>
          <w:highlight w:val="none"/>
          <w:lang w:val="en-US" w:eastAsia="zh-CN" w:bidi="ar"/>
        </w:rPr>
        <w:t>溢洪道位于土坝右坝端，为开敞式无闸控制宽顶堰型。堰顶高程</w:t>
      </w:r>
      <w:r>
        <w:rPr>
          <w:rFonts w:hint="eastAsia" w:cs="Times New Roman"/>
          <w:color w:val="auto"/>
          <w:kern w:val="0"/>
          <w:sz w:val="24"/>
          <w:szCs w:val="24"/>
          <w:highlight w:val="none"/>
          <w:lang w:val="en-US" w:eastAsia="zh-CN" w:bidi="ar"/>
        </w:rPr>
        <w:t>223.80</w:t>
      </w:r>
      <w:r>
        <w:rPr>
          <w:rFonts w:hint="default" w:ascii="Times New Roman" w:hAnsi="Times New Roman" w:eastAsia="宋体" w:cs="Times New Roman"/>
          <w:color w:val="auto"/>
          <w:kern w:val="0"/>
          <w:sz w:val="24"/>
          <w:szCs w:val="24"/>
          <w:highlight w:val="none"/>
          <w:lang w:val="en-US" w:eastAsia="zh-CN" w:bidi="ar"/>
        </w:rPr>
        <w:t>m，总净宽</w:t>
      </w:r>
      <w:r>
        <w:rPr>
          <w:rFonts w:hint="eastAsia" w:ascii="Times New Roman" w:hAnsi="Times New Roman" w:eastAsia="宋体" w:cs="Times New Roman"/>
          <w:color w:val="auto"/>
          <w:kern w:val="0"/>
          <w:sz w:val="24"/>
          <w:szCs w:val="24"/>
          <w:highlight w:val="none"/>
          <w:lang w:val="en-US" w:eastAsia="zh-CN" w:bidi="ar"/>
        </w:rPr>
        <w:t>18m。新建进水渠段砼底板及两侧挡墙，增设交通桥；</w:t>
      </w:r>
      <w:r>
        <w:rPr>
          <w:rFonts w:hint="eastAsia" w:cs="Times New Roman"/>
          <w:color w:val="auto"/>
          <w:kern w:val="0"/>
          <w:sz w:val="24"/>
          <w:szCs w:val="24"/>
          <w:highlight w:val="none"/>
          <w:lang w:val="en-US" w:eastAsia="zh-CN" w:bidi="ar"/>
        </w:rPr>
        <w:t>重建</w:t>
      </w:r>
      <w:r>
        <w:rPr>
          <w:rFonts w:hint="eastAsia" w:ascii="Times New Roman" w:hAnsi="Times New Roman" w:eastAsia="宋体" w:cs="Times New Roman"/>
          <w:color w:val="auto"/>
          <w:kern w:val="0"/>
          <w:sz w:val="24"/>
          <w:szCs w:val="24"/>
          <w:highlight w:val="none"/>
          <w:lang w:val="en-US" w:eastAsia="zh-CN" w:bidi="ar"/>
        </w:rPr>
        <w:t>控制段</w:t>
      </w:r>
      <w:r>
        <w:rPr>
          <w:rFonts w:hint="eastAsia" w:cs="Times New Roman"/>
          <w:color w:val="auto"/>
          <w:kern w:val="0"/>
          <w:sz w:val="24"/>
          <w:szCs w:val="24"/>
          <w:highlight w:val="none"/>
          <w:lang w:val="en-US" w:eastAsia="zh-CN" w:bidi="ar"/>
        </w:rPr>
        <w:t>左岸</w:t>
      </w:r>
      <w:r>
        <w:rPr>
          <w:rFonts w:hint="eastAsia" w:ascii="Times New Roman" w:hAnsi="Times New Roman" w:eastAsia="宋体" w:cs="Times New Roman"/>
          <w:color w:val="auto"/>
          <w:kern w:val="0"/>
          <w:sz w:val="24"/>
          <w:szCs w:val="24"/>
          <w:highlight w:val="none"/>
          <w:lang w:val="en-US" w:eastAsia="zh-CN" w:bidi="ar"/>
        </w:rPr>
        <w:t>挡墙</w:t>
      </w:r>
      <w:r>
        <w:rPr>
          <w:rFonts w:hint="eastAsia" w:cs="Times New Roman"/>
          <w:color w:val="auto"/>
          <w:kern w:val="0"/>
          <w:sz w:val="24"/>
          <w:szCs w:val="24"/>
          <w:highlight w:val="none"/>
          <w:lang w:val="en-US" w:eastAsia="zh-CN" w:bidi="ar"/>
        </w:rPr>
        <w:t>，</w:t>
      </w:r>
      <w:r>
        <w:rPr>
          <w:rFonts w:hint="eastAsia" w:ascii="Times New Roman" w:hAnsi="Times New Roman" w:eastAsia="宋体" w:cs="Times New Roman"/>
          <w:color w:val="auto"/>
          <w:kern w:val="0"/>
          <w:sz w:val="24"/>
          <w:szCs w:val="24"/>
          <w:highlight w:val="none"/>
          <w:lang w:val="en-US" w:eastAsia="zh-CN" w:bidi="ar"/>
        </w:rPr>
        <w:t>重</w:t>
      </w:r>
      <w:r>
        <w:rPr>
          <w:rFonts w:hint="eastAsia" w:cs="Times New Roman"/>
          <w:color w:val="auto"/>
          <w:kern w:val="0"/>
          <w:sz w:val="24"/>
          <w:szCs w:val="24"/>
          <w:highlight w:val="none"/>
          <w:lang w:val="en-US" w:eastAsia="zh-CN" w:bidi="ar"/>
        </w:rPr>
        <w:t>建</w:t>
      </w:r>
      <w:r>
        <w:rPr>
          <w:rFonts w:hint="eastAsia" w:ascii="Times New Roman" w:hAnsi="Times New Roman" w:eastAsia="宋体" w:cs="Times New Roman"/>
          <w:color w:val="auto"/>
          <w:kern w:val="0"/>
          <w:sz w:val="24"/>
          <w:szCs w:val="24"/>
          <w:highlight w:val="none"/>
          <w:lang w:val="en-US" w:eastAsia="zh-CN" w:bidi="ar"/>
        </w:rPr>
        <w:t>底板砼护面</w:t>
      </w:r>
      <w:r>
        <w:rPr>
          <w:rFonts w:hint="eastAsia" w:cs="Times New Roman"/>
          <w:color w:val="auto"/>
          <w:kern w:val="0"/>
          <w:sz w:val="24"/>
          <w:szCs w:val="24"/>
          <w:highlight w:val="none"/>
          <w:lang w:val="en-US" w:eastAsia="zh-CN" w:bidi="ar"/>
        </w:rPr>
        <w:t>平均300mm厚</w:t>
      </w:r>
      <w:r>
        <w:rPr>
          <w:rFonts w:hint="eastAsia" w:ascii="Times New Roman" w:hAnsi="Times New Roman" w:eastAsia="宋体" w:cs="Times New Roman"/>
          <w:color w:val="auto"/>
          <w:kern w:val="0"/>
          <w:sz w:val="24"/>
          <w:szCs w:val="24"/>
          <w:highlight w:val="none"/>
          <w:lang w:val="en-US" w:eastAsia="zh-CN" w:bidi="ar"/>
        </w:rPr>
        <w:t>；</w:t>
      </w:r>
      <w:r>
        <w:rPr>
          <w:rFonts w:hint="eastAsia" w:cs="Times New Roman"/>
          <w:color w:val="auto"/>
          <w:kern w:val="0"/>
          <w:sz w:val="24"/>
          <w:szCs w:val="24"/>
          <w:highlight w:val="none"/>
          <w:lang w:val="en-US" w:eastAsia="zh-CN" w:bidi="ar"/>
        </w:rPr>
        <w:t>重建泄槽段左岸挡墙，右岸现状挡墙面层增设砼贴面，</w:t>
      </w:r>
      <w:r>
        <w:rPr>
          <w:rFonts w:hint="eastAsia" w:ascii="Times New Roman" w:hAnsi="Times New Roman" w:eastAsia="宋体" w:cs="Times New Roman"/>
          <w:color w:val="auto"/>
          <w:kern w:val="0"/>
          <w:sz w:val="24"/>
          <w:szCs w:val="24"/>
          <w:highlight w:val="none"/>
          <w:lang w:val="en-US" w:eastAsia="zh-CN" w:bidi="ar"/>
        </w:rPr>
        <w:t>重设底板砼护面</w:t>
      </w:r>
      <w:r>
        <w:rPr>
          <w:rFonts w:hint="eastAsia" w:cs="Times New Roman"/>
          <w:color w:val="auto"/>
          <w:kern w:val="0"/>
          <w:sz w:val="24"/>
          <w:szCs w:val="24"/>
          <w:highlight w:val="none"/>
          <w:lang w:val="en-US" w:eastAsia="zh-CN" w:bidi="ar"/>
        </w:rPr>
        <w:t>厚150mm</w:t>
      </w:r>
      <w:r>
        <w:rPr>
          <w:rFonts w:hint="eastAsia" w:ascii="Times New Roman" w:hAnsi="Times New Roman" w:eastAsia="宋体" w:cs="Times New Roman"/>
          <w:color w:val="auto"/>
          <w:kern w:val="0"/>
          <w:sz w:val="24"/>
          <w:szCs w:val="24"/>
          <w:highlight w:val="none"/>
          <w:lang w:val="en-US" w:eastAsia="zh-CN" w:bidi="ar"/>
        </w:rPr>
        <w:t>；</w:t>
      </w:r>
      <w:r>
        <w:rPr>
          <w:rFonts w:hint="eastAsia" w:cs="Times New Roman"/>
          <w:color w:val="auto"/>
          <w:kern w:val="0"/>
          <w:sz w:val="24"/>
          <w:szCs w:val="24"/>
          <w:highlight w:val="none"/>
          <w:lang w:val="en-US" w:eastAsia="zh-CN" w:bidi="ar"/>
        </w:rPr>
        <w:t>于下游泄槽段底部新建反虹涵用于灌溉引水；拆除</w:t>
      </w:r>
      <w:r>
        <w:rPr>
          <w:rFonts w:hint="eastAsia" w:ascii="Times New Roman" w:hAnsi="Times New Roman" w:eastAsia="宋体" w:cs="Times New Roman"/>
          <w:color w:val="auto"/>
          <w:kern w:val="0"/>
          <w:sz w:val="24"/>
          <w:szCs w:val="24"/>
          <w:highlight w:val="none"/>
          <w:lang w:val="en-US" w:eastAsia="zh-CN" w:bidi="ar"/>
        </w:rPr>
        <w:t>挑流鼻坎</w:t>
      </w:r>
      <w:r>
        <w:rPr>
          <w:rFonts w:hint="eastAsia" w:cs="Times New Roman"/>
          <w:color w:val="auto"/>
          <w:kern w:val="0"/>
          <w:sz w:val="24"/>
          <w:szCs w:val="24"/>
          <w:highlight w:val="none"/>
          <w:lang w:val="en-US" w:eastAsia="zh-CN" w:bidi="ar"/>
        </w:rPr>
        <w:t>改建为消力池及海漫</w:t>
      </w:r>
      <w:r>
        <w:rPr>
          <w:rFonts w:hint="eastAsia" w:ascii="Times New Roman" w:hAnsi="Times New Roman" w:eastAsia="宋体" w:cs="Times New Roman"/>
          <w:color w:val="auto"/>
          <w:kern w:val="0"/>
          <w:sz w:val="24"/>
          <w:szCs w:val="24"/>
          <w:highlight w:val="none"/>
          <w:lang w:val="en-US" w:eastAsia="zh-CN" w:bidi="ar"/>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auto"/>
          <w:kern w:val="0"/>
          <w:sz w:val="24"/>
          <w:szCs w:val="24"/>
          <w:highlight w:val="none"/>
          <w:lang w:val="en-US" w:eastAsia="zh-CN" w:bidi="ar"/>
        </w:rPr>
      </w:pPr>
      <w:r>
        <w:rPr>
          <w:rFonts w:hint="eastAsia" w:ascii="Times New Roman" w:hAnsi="Times New Roman" w:eastAsia="宋体" w:cs="Times New Roman"/>
          <w:color w:val="auto"/>
          <w:kern w:val="0"/>
          <w:sz w:val="24"/>
          <w:szCs w:val="24"/>
          <w:highlight w:val="none"/>
          <w:lang w:val="en-US" w:eastAsia="zh-CN" w:bidi="ar"/>
        </w:rPr>
        <w:t>（3）输水涵管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auto"/>
          <w:kern w:val="0"/>
          <w:sz w:val="24"/>
          <w:szCs w:val="24"/>
          <w:highlight w:val="none"/>
          <w:lang w:val="en-US" w:eastAsia="zh-CN" w:bidi="ar"/>
        </w:rPr>
      </w:pPr>
      <w:r>
        <w:rPr>
          <w:rFonts w:hint="eastAsia" w:ascii="Times New Roman" w:hAnsi="Times New Roman" w:eastAsia="宋体" w:cs="Times New Roman"/>
          <w:color w:val="auto"/>
          <w:kern w:val="0"/>
          <w:sz w:val="24"/>
          <w:szCs w:val="24"/>
          <w:highlight w:val="none"/>
          <w:lang w:val="en-US" w:eastAsia="zh-CN" w:bidi="ar"/>
        </w:rPr>
        <w:t>输水涵管位于坝体左侧坝端，原为钢筋砼结构圆涵，内径0</w:t>
      </w:r>
      <w:r>
        <w:rPr>
          <w:rFonts w:hint="eastAsia" w:cs="Times New Roman"/>
          <w:color w:val="auto"/>
          <w:kern w:val="0"/>
          <w:sz w:val="24"/>
          <w:szCs w:val="24"/>
          <w:highlight w:val="none"/>
          <w:lang w:val="en-US" w:eastAsia="zh-CN" w:bidi="ar"/>
        </w:rPr>
        <w:t>.</w:t>
      </w:r>
      <w:r>
        <w:rPr>
          <w:rFonts w:hint="eastAsia" w:ascii="Times New Roman" w:hAnsi="Times New Roman" w:eastAsia="宋体" w:cs="Times New Roman"/>
          <w:color w:val="auto"/>
          <w:kern w:val="0"/>
          <w:sz w:val="24"/>
          <w:szCs w:val="24"/>
          <w:highlight w:val="none"/>
          <w:lang w:val="en-US" w:eastAsia="zh-CN" w:bidi="ar"/>
        </w:rPr>
        <w:t>7m，2017年10月实施涵管内套钢管，管径0</w:t>
      </w:r>
      <w:r>
        <w:rPr>
          <w:rFonts w:hint="eastAsia" w:cs="Times New Roman"/>
          <w:color w:val="auto"/>
          <w:kern w:val="0"/>
          <w:sz w:val="24"/>
          <w:szCs w:val="24"/>
          <w:highlight w:val="none"/>
          <w:lang w:val="en-US" w:eastAsia="zh-CN" w:bidi="ar"/>
        </w:rPr>
        <w:t>.</w:t>
      </w:r>
      <w:r>
        <w:rPr>
          <w:rFonts w:hint="eastAsia" w:ascii="Times New Roman" w:hAnsi="Times New Roman" w:eastAsia="宋体" w:cs="Times New Roman"/>
          <w:color w:val="auto"/>
          <w:kern w:val="0"/>
          <w:sz w:val="24"/>
          <w:szCs w:val="24"/>
          <w:highlight w:val="none"/>
          <w:lang w:val="en-US" w:eastAsia="zh-CN" w:bidi="ar"/>
        </w:rPr>
        <w:t>62m，管壁厚10mm，涵头进口底高程206</w:t>
      </w:r>
      <w:r>
        <w:rPr>
          <w:rFonts w:hint="eastAsia" w:cs="Times New Roman"/>
          <w:color w:val="auto"/>
          <w:kern w:val="0"/>
          <w:sz w:val="24"/>
          <w:szCs w:val="24"/>
          <w:highlight w:val="none"/>
          <w:lang w:val="en-US" w:eastAsia="zh-CN" w:bidi="ar"/>
        </w:rPr>
        <w:t>.</w:t>
      </w:r>
      <w:r>
        <w:rPr>
          <w:rFonts w:hint="eastAsia" w:ascii="Times New Roman" w:hAnsi="Times New Roman" w:eastAsia="宋体" w:cs="Times New Roman"/>
          <w:color w:val="auto"/>
          <w:kern w:val="0"/>
          <w:sz w:val="24"/>
          <w:szCs w:val="24"/>
          <w:highlight w:val="none"/>
          <w:lang w:val="en-US" w:eastAsia="zh-CN" w:bidi="ar"/>
        </w:rPr>
        <w:t>75m，涵管全长160m。涵管出口底高程205</w:t>
      </w:r>
      <w:r>
        <w:rPr>
          <w:rFonts w:hint="eastAsia" w:cs="Times New Roman"/>
          <w:color w:val="auto"/>
          <w:kern w:val="0"/>
          <w:sz w:val="24"/>
          <w:szCs w:val="24"/>
          <w:highlight w:val="none"/>
          <w:lang w:val="en-US" w:eastAsia="zh-CN" w:bidi="ar"/>
        </w:rPr>
        <w:t>.</w:t>
      </w:r>
      <w:r>
        <w:rPr>
          <w:rFonts w:hint="eastAsia" w:ascii="Times New Roman" w:hAnsi="Times New Roman" w:eastAsia="宋体" w:cs="Times New Roman"/>
          <w:color w:val="auto"/>
          <w:kern w:val="0"/>
          <w:sz w:val="24"/>
          <w:szCs w:val="24"/>
          <w:highlight w:val="none"/>
          <w:lang w:val="en-US" w:eastAsia="zh-CN" w:bidi="ar"/>
        </w:rPr>
        <w:t>45m，涵头设螺杆式斜拉铸铁闸门控制，配手电两用15T螺杆式启闭机，启闭机机室设于坝顶，面积3</w:t>
      </w:r>
      <w:r>
        <w:rPr>
          <w:rFonts w:hint="eastAsia" w:cs="Times New Roman"/>
          <w:color w:val="auto"/>
          <w:kern w:val="0"/>
          <w:sz w:val="24"/>
          <w:szCs w:val="24"/>
          <w:highlight w:val="none"/>
          <w:lang w:val="en-US" w:eastAsia="zh-CN" w:bidi="ar"/>
        </w:rPr>
        <w:t>.</w:t>
      </w:r>
      <w:r>
        <w:rPr>
          <w:rFonts w:hint="eastAsia" w:ascii="Times New Roman" w:hAnsi="Times New Roman" w:eastAsia="宋体" w:cs="Times New Roman"/>
          <w:color w:val="auto"/>
          <w:kern w:val="0"/>
          <w:sz w:val="24"/>
          <w:szCs w:val="24"/>
          <w:highlight w:val="none"/>
          <w:lang w:val="en-US" w:eastAsia="zh-CN" w:bidi="ar"/>
        </w:rPr>
        <w:t>4×4</w:t>
      </w:r>
      <w:r>
        <w:rPr>
          <w:rFonts w:hint="eastAsia" w:cs="Times New Roman"/>
          <w:color w:val="auto"/>
          <w:kern w:val="0"/>
          <w:sz w:val="24"/>
          <w:szCs w:val="24"/>
          <w:highlight w:val="none"/>
          <w:lang w:val="en-US" w:eastAsia="zh-CN" w:bidi="ar"/>
        </w:rPr>
        <w:t>.</w:t>
      </w:r>
      <w:r>
        <w:rPr>
          <w:rFonts w:hint="eastAsia" w:ascii="Times New Roman" w:hAnsi="Times New Roman" w:eastAsia="宋体" w:cs="Times New Roman"/>
          <w:color w:val="auto"/>
          <w:kern w:val="0"/>
          <w:sz w:val="24"/>
          <w:szCs w:val="24"/>
          <w:highlight w:val="none"/>
          <w:lang w:val="en-US" w:eastAsia="zh-CN" w:bidi="ar"/>
        </w:rPr>
        <w:t>2m。涵管通气孔采用直径114mm无缝钢管，管壁厚7mm。2018 年6月由丰顺县水务局组织了完工验收。输水涵管现状完好，本次不对输水涵管实施加固措施。</w:t>
      </w:r>
      <w:r>
        <w:rPr>
          <w:rFonts w:hint="eastAsia" w:cs="Times New Roman"/>
          <w:color w:val="auto"/>
          <w:kern w:val="0"/>
          <w:sz w:val="24"/>
          <w:szCs w:val="24"/>
          <w:highlight w:val="none"/>
          <w:lang w:val="en-US" w:eastAsia="zh-CN" w:bidi="ar"/>
        </w:rPr>
        <w:t>现状输水涵管涵尾设有闸门及闸阀，均锈蚀严重，老化失效，无法正常使用。本次拟更换涵尾闸门及闸阀，保证其正常运行。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kern w:val="0"/>
          <w:sz w:val="24"/>
          <w:szCs w:val="24"/>
          <w:highlight w:val="none"/>
          <w:lang w:val="en-US" w:eastAsia="zh-CN" w:bidi="ar"/>
        </w:rPr>
      </w:pPr>
      <w:r>
        <w:rPr>
          <w:rFonts w:hint="eastAsia" w:ascii="Times New Roman" w:hAnsi="Times New Roman" w:eastAsia="宋体" w:cs="Times New Roman"/>
          <w:color w:val="auto"/>
          <w:kern w:val="0"/>
          <w:sz w:val="24"/>
          <w:szCs w:val="24"/>
          <w:highlight w:val="none"/>
          <w:lang w:val="en-US" w:eastAsia="zh-CN" w:bidi="ar"/>
        </w:rPr>
        <w:t>（4）上坝公路，进村公路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kern w:val="0"/>
          <w:sz w:val="24"/>
          <w:szCs w:val="24"/>
          <w:highlight w:val="none"/>
          <w:lang w:val="en-US" w:eastAsia="zh-CN" w:bidi="ar"/>
        </w:rPr>
      </w:pPr>
      <w:r>
        <w:rPr>
          <w:rFonts w:hint="eastAsia" w:ascii="Times New Roman" w:hAnsi="Times New Roman" w:eastAsia="宋体" w:cs="Times New Roman"/>
          <w:color w:val="auto"/>
          <w:kern w:val="0"/>
          <w:sz w:val="24"/>
          <w:szCs w:val="24"/>
          <w:highlight w:val="none"/>
          <w:lang w:val="en-US" w:eastAsia="zh-CN" w:bidi="ar"/>
        </w:rPr>
        <w:t>现状上坝公路为混凝土路面，</w:t>
      </w:r>
      <w:r>
        <w:rPr>
          <w:rFonts w:hint="default" w:ascii="Times New Roman" w:hAnsi="Times New Roman" w:cs="Times New Roman"/>
          <w:color w:val="auto"/>
          <w:sz w:val="24"/>
          <w:szCs w:val="24"/>
          <w:highlight w:val="none"/>
          <w:lang w:val="en-US" w:eastAsia="zh-CN"/>
        </w:rPr>
        <w:t>宽度</w:t>
      </w:r>
      <w:r>
        <w:rPr>
          <w:rFonts w:hint="eastAsia" w:ascii="Times New Roman" w:hAnsi="Times New Roman" w:cs="Times New Roman"/>
          <w:color w:val="auto"/>
          <w:sz w:val="24"/>
          <w:szCs w:val="24"/>
          <w:highlight w:val="none"/>
          <w:lang w:val="en-US" w:eastAsia="zh-CN"/>
        </w:rPr>
        <w:t>3</w:t>
      </w:r>
      <w:r>
        <w:rPr>
          <w:rFonts w:hint="default" w:ascii="Times New Roman" w:hAnsi="Times New Roman" w:cs="Times New Roman"/>
          <w:color w:val="auto"/>
          <w:sz w:val="24"/>
          <w:szCs w:val="24"/>
          <w:highlight w:val="none"/>
          <w:lang w:val="en-US" w:eastAsia="zh-CN"/>
        </w:rPr>
        <w:t>m左右，满足防汛抢险车辆通行</w:t>
      </w:r>
      <w:r>
        <w:rPr>
          <w:rFonts w:hint="eastAsia" w:ascii="Times New Roman" w:hAnsi="Times New Roman" w:cs="Times New Roman"/>
          <w:color w:val="auto"/>
          <w:sz w:val="24"/>
          <w:szCs w:val="24"/>
          <w:highlight w:val="none"/>
          <w:lang w:val="en-US" w:eastAsia="zh-CN"/>
        </w:rPr>
        <w:t>。现状进村公路位于</w:t>
      </w:r>
      <w:r>
        <w:rPr>
          <w:rFonts w:hint="eastAsia" w:cs="Times New Roman"/>
          <w:color w:val="auto"/>
          <w:sz w:val="24"/>
          <w:szCs w:val="24"/>
          <w:highlight w:val="none"/>
          <w:lang w:val="en-US" w:eastAsia="zh-CN"/>
        </w:rPr>
        <w:t>大坝右岸</w:t>
      </w:r>
      <w:r>
        <w:rPr>
          <w:rFonts w:hint="eastAsia" w:ascii="Times New Roman" w:hAnsi="Times New Roman" w:cs="Times New Roman"/>
          <w:color w:val="auto"/>
          <w:sz w:val="24"/>
          <w:szCs w:val="24"/>
          <w:highlight w:val="none"/>
          <w:lang w:val="en-US" w:eastAsia="zh-CN"/>
        </w:rPr>
        <w:t>，</w:t>
      </w:r>
      <w:r>
        <w:rPr>
          <w:rFonts w:hint="eastAsia" w:cs="Times New Roman"/>
          <w:color w:val="auto"/>
          <w:sz w:val="24"/>
          <w:szCs w:val="24"/>
          <w:highlight w:val="none"/>
          <w:lang w:val="en-US" w:eastAsia="zh-CN"/>
        </w:rPr>
        <w:t>由溢洪道进口处连接至坝顶，约200m长道路位于校核洪水位以下，</w:t>
      </w:r>
      <w:r>
        <w:rPr>
          <w:rFonts w:hint="eastAsia" w:ascii="Times New Roman" w:hAnsi="Times New Roman" w:cs="Times New Roman"/>
          <w:color w:val="auto"/>
          <w:sz w:val="24"/>
          <w:szCs w:val="24"/>
          <w:highlight w:val="none"/>
          <w:lang w:val="en-US" w:eastAsia="zh-CN"/>
        </w:rPr>
        <w:t>泄洪时切断两侧交通，存在重大安全隐患；本次加固拟建进村公路，宽3</w:t>
      </w:r>
      <w:r>
        <w:rPr>
          <w:rFonts w:hint="eastAsia" w:cs="Times New Roman"/>
          <w:color w:val="auto"/>
          <w:sz w:val="24"/>
          <w:szCs w:val="24"/>
          <w:highlight w:val="none"/>
          <w:lang w:val="en-US" w:eastAsia="zh-CN"/>
        </w:rPr>
        <w:t>.</w:t>
      </w:r>
      <w:r>
        <w:rPr>
          <w:rFonts w:hint="eastAsia" w:ascii="Times New Roman" w:hAnsi="Times New Roman" w:cs="Times New Roman"/>
          <w:color w:val="auto"/>
          <w:sz w:val="24"/>
          <w:szCs w:val="24"/>
          <w:highlight w:val="none"/>
          <w:lang w:val="en-US" w:eastAsia="zh-CN"/>
        </w:rPr>
        <w:t>5m，长约</w:t>
      </w:r>
      <w:r>
        <w:rPr>
          <w:rFonts w:hint="eastAsia" w:cs="Times New Roman"/>
          <w:color w:val="auto"/>
          <w:sz w:val="24"/>
          <w:szCs w:val="24"/>
          <w:highlight w:val="none"/>
          <w:lang w:val="en-US" w:eastAsia="zh-CN"/>
        </w:rPr>
        <w:t>240</w:t>
      </w:r>
      <w:r>
        <w:rPr>
          <w:rFonts w:hint="eastAsia" w:ascii="Times New Roman" w:hAnsi="Times New Roman" w:cs="Times New Roman"/>
          <w:color w:val="auto"/>
          <w:sz w:val="24"/>
          <w:szCs w:val="24"/>
          <w:highlight w:val="none"/>
          <w:lang w:val="en-US" w:eastAsia="zh-CN"/>
        </w:rPr>
        <w:t>m，道路内侧设排水边沟。</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kern w:val="0"/>
          <w:sz w:val="24"/>
          <w:szCs w:val="24"/>
          <w:highlight w:val="none"/>
          <w:lang w:val="en-US" w:eastAsia="zh-CN" w:bidi="ar"/>
        </w:rPr>
      </w:pPr>
      <w:r>
        <w:rPr>
          <w:rFonts w:hint="eastAsia" w:ascii="Times New Roman" w:hAnsi="Times New Roman" w:eastAsia="宋体" w:cs="Times New Roman"/>
          <w:color w:val="auto"/>
          <w:kern w:val="0"/>
          <w:sz w:val="24"/>
          <w:szCs w:val="24"/>
          <w:highlight w:val="none"/>
          <w:lang w:val="en-US" w:eastAsia="zh-CN" w:bidi="ar"/>
        </w:rPr>
        <w:t>（5）管理房</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kern w:val="0"/>
          <w:sz w:val="24"/>
          <w:szCs w:val="24"/>
          <w:highlight w:val="none"/>
          <w:lang w:val="en-US" w:eastAsia="zh-CN" w:bidi="ar"/>
        </w:rPr>
      </w:pPr>
      <w:r>
        <w:rPr>
          <w:rFonts w:hint="eastAsia" w:ascii="Times New Roman" w:hAnsi="Times New Roman" w:eastAsia="宋体" w:cs="Times New Roman"/>
          <w:color w:val="auto"/>
          <w:kern w:val="0"/>
          <w:sz w:val="24"/>
          <w:szCs w:val="24"/>
          <w:highlight w:val="none"/>
          <w:lang w:val="en-US" w:eastAsia="zh-CN" w:bidi="ar"/>
        </w:rPr>
        <w:t>现状管理用房占地120m</w:t>
      </w:r>
      <w:r>
        <w:rPr>
          <w:rFonts w:hint="eastAsia" w:ascii="Times New Roman" w:hAnsi="Times New Roman" w:eastAsia="宋体" w:cs="Times New Roman"/>
          <w:color w:val="auto"/>
          <w:kern w:val="0"/>
          <w:sz w:val="24"/>
          <w:szCs w:val="24"/>
          <w:highlight w:val="none"/>
          <w:vertAlign w:val="superscript"/>
          <w:lang w:val="en-US" w:eastAsia="zh-CN" w:bidi="ar"/>
        </w:rPr>
        <w:t>2</w:t>
      </w:r>
      <w:r>
        <w:rPr>
          <w:rFonts w:hint="eastAsia" w:ascii="Times New Roman" w:hAnsi="Times New Roman" w:eastAsia="宋体" w:cs="Times New Roman"/>
          <w:color w:val="auto"/>
          <w:kern w:val="0"/>
          <w:sz w:val="24"/>
          <w:szCs w:val="24"/>
          <w:highlight w:val="none"/>
          <w:vertAlign w:val="baseline"/>
          <w:lang w:val="en-US" w:eastAsia="zh-CN" w:bidi="ar"/>
        </w:rPr>
        <w:t>。本次仅对其进行修缮，修缮主要措施为内墙粉刷。</w:t>
      </w:r>
    </w:p>
    <w:p>
      <w:pPr>
        <w:bidi w:val="0"/>
        <w:rPr>
          <w:rFonts w:hint="eastAsia" w:ascii="Times New Roman" w:hAnsi="Times New Roman" w:eastAsia="宋体" w:cs="Times New Roman"/>
          <w:color w:val="auto"/>
          <w:kern w:val="0"/>
          <w:szCs w:val="24"/>
          <w:highlight w:val="none"/>
          <w:lang w:val="en-US" w:eastAsia="zh-CN" w:bidi="ar"/>
        </w:rPr>
      </w:pPr>
    </w:p>
    <w:p>
      <w:pPr>
        <w:pStyle w:val="5"/>
        <w:bidi w:val="0"/>
        <w:rPr>
          <w:rFonts w:hint="default"/>
          <w:color w:val="auto"/>
          <w:highlight w:val="none"/>
          <w:lang w:val="en-US" w:eastAsia="zh-CN"/>
        </w:rPr>
      </w:pPr>
      <w:bookmarkStart w:id="33" w:name="_Toc19891"/>
      <w:r>
        <w:rPr>
          <w:rFonts w:hint="eastAsia"/>
          <w:color w:val="auto"/>
          <w:highlight w:val="none"/>
          <w:lang w:val="en-US" w:eastAsia="zh-CN"/>
        </w:rPr>
        <w:t>1.4.2工程规模</w:t>
      </w:r>
      <w:bookmarkEnd w:id="33"/>
    </w:p>
    <w:p>
      <w:pPr>
        <w:pStyle w:val="6"/>
        <w:bidi w:val="0"/>
        <w:rPr>
          <w:rFonts w:hint="default"/>
          <w:color w:val="auto"/>
          <w:highlight w:val="none"/>
          <w:lang w:val="en-US" w:eastAsia="zh-CN"/>
        </w:rPr>
      </w:pPr>
      <w:r>
        <w:rPr>
          <w:rFonts w:hint="eastAsia"/>
          <w:color w:val="auto"/>
          <w:highlight w:val="none"/>
          <w:lang w:val="en-US" w:eastAsia="zh-CN"/>
        </w:rPr>
        <w:t>1.4.2.1特征水位复核结论</w:t>
      </w:r>
    </w:p>
    <w:p>
      <w:pPr>
        <w:widowControl/>
        <w:spacing w:line="500" w:lineRule="exact"/>
        <w:ind w:firstLine="480" w:firstLineChars="200"/>
        <w:jc w:val="left"/>
        <w:rPr>
          <w:rFonts w:hint="default" w:ascii="Times New Roman" w:hAnsi="Times New Roman" w:eastAsia="宋体" w:cs="Times New Roman"/>
          <w:color w:val="auto"/>
          <w:sz w:val="24"/>
          <w:szCs w:val="24"/>
          <w:highlight w:val="none"/>
          <w:lang w:val="en-US" w:eastAsia="zh-CN"/>
        </w:rPr>
      </w:pPr>
      <w:r>
        <w:rPr>
          <w:rFonts w:ascii="Times New Roman" w:hAnsi="Times New Roman" w:eastAsia="宋体" w:cs="Times New Roman"/>
          <w:color w:val="auto"/>
          <w:sz w:val="24"/>
          <w:szCs w:val="24"/>
          <w:highlight w:val="none"/>
        </w:rPr>
        <w:t>2022年10月丰顺县水务局组织对洋坑水库开展除险加固初步设计工作。经设计、测量、勘探人员核查，水库为无闸开敞式溢洪道型式，现状溢洪道堰顶高程</w:t>
      </w:r>
      <w:r>
        <w:rPr>
          <w:rFonts w:hint="default" w:ascii="Times New Roman" w:hAnsi="Times New Roman" w:eastAsia="宋体" w:cs="Times New Roman"/>
          <w:color w:val="auto"/>
          <w:sz w:val="24"/>
          <w:szCs w:val="24"/>
          <w:highlight w:val="none"/>
          <w:lang w:val="en-US" w:eastAsia="zh-CN"/>
        </w:rPr>
        <w:t>为</w:t>
      </w:r>
      <w:r>
        <w:rPr>
          <w:rFonts w:ascii="Times New Roman" w:hAnsi="Times New Roman" w:eastAsia="宋体" w:cs="Times New Roman"/>
          <w:color w:val="auto"/>
          <w:sz w:val="24"/>
          <w:szCs w:val="24"/>
          <w:highlight w:val="none"/>
        </w:rPr>
        <w:t>223.8m，水库正常蓄水仅能达到223.8m，较2011年除险加固设计报告确定的正常蓄水位225.7m低1.9m。</w:t>
      </w:r>
      <w:r>
        <w:rPr>
          <w:rFonts w:ascii="Times New Roman" w:hAnsi="Times New Roman" w:eastAsia="宋体" w:cs="Times New Roman"/>
          <w:color w:val="auto"/>
          <w:sz w:val="24"/>
          <w:szCs w:val="24"/>
          <w:highlight w:val="none"/>
        </w:rPr>
        <w:br w:type="textWrapping"/>
      </w:r>
      <w:r>
        <w:rPr>
          <w:rFonts w:hint="default" w:ascii="Times New Roman" w:hAnsi="Times New Roman" w:eastAsia="宋体" w:cs="Times New Roman"/>
          <w:color w:val="auto"/>
          <w:sz w:val="24"/>
          <w:szCs w:val="24"/>
          <w:highlight w:val="none"/>
          <w:lang w:val="en-US" w:eastAsia="zh-CN"/>
        </w:rPr>
        <w:t xml:space="preserve">    </w:t>
      </w:r>
      <w:r>
        <w:rPr>
          <w:rFonts w:ascii="Times New Roman" w:hAnsi="Times New Roman" w:eastAsia="宋体" w:cs="Times New Roman"/>
          <w:color w:val="auto"/>
          <w:sz w:val="24"/>
          <w:szCs w:val="24"/>
          <w:highlight w:val="none"/>
        </w:rPr>
        <w:t>根据水库现状实际情况</w:t>
      </w:r>
      <w:r>
        <w:rPr>
          <w:rFonts w:hint="eastAsia" w:ascii="Times New Roman" w:hAnsi="Times New Roman" w:eastAsia="宋体" w:cs="Times New Roman"/>
          <w:color w:val="auto"/>
          <w:sz w:val="24"/>
          <w:szCs w:val="24"/>
          <w:highlight w:val="none"/>
          <w:lang w:eastAsia="zh-CN"/>
        </w:rPr>
        <w:t>，</w:t>
      </w:r>
      <w:r>
        <w:rPr>
          <w:rFonts w:ascii="Times New Roman" w:hAnsi="Times New Roman" w:eastAsia="宋体" w:cs="Times New Roman"/>
          <w:color w:val="auto"/>
          <w:sz w:val="24"/>
          <w:szCs w:val="24"/>
          <w:highlight w:val="none"/>
        </w:rPr>
        <w:t>本次除险加固初步设计对水库特征水位进行复核</w:t>
      </w:r>
      <w:r>
        <w:rPr>
          <w:rFonts w:hint="eastAsia" w:ascii="Times New Roman" w:hAnsi="Times New Roman" w:eastAsia="宋体" w:cs="Times New Roman"/>
          <w:color w:val="auto"/>
          <w:sz w:val="24"/>
          <w:szCs w:val="24"/>
          <w:highlight w:val="none"/>
          <w:lang w:eastAsia="zh-CN"/>
        </w:rPr>
        <w:t>。</w:t>
      </w:r>
    </w:p>
    <w:p>
      <w:pPr>
        <w:widowControl/>
        <w:spacing w:line="500" w:lineRule="exact"/>
        <w:ind w:firstLine="480" w:firstLineChars="200"/>
        <w:jc w:val="left"/>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本次复核后的正常蓄水位为223.8m，经调洪演算得到的50年一遇设计洪水位为226.73m，500年一遇校核洪水位为227.53m，与原设计报告成果对比情况见表</w:t>
      </w:r>
      <w:r>
        <w:rPr>
          <w:rFonts w:hint="eastAsia" w:ascii="Times New Roman" w:hAnsi="Times New Roman" w:eastAsia="宋体" w:cs="Times New Roman"/>
          <w:color w:val="auto"/>
          <w:sz w:val="24"/>
          <w:szCs w:val="24"/>
          <w:highlight w:val="none"/>
          <w:lang w:val="en-US" w:eastAsia="zh-CN"/>
        </w:rPr>
        <w:t>1</w:t>
      </w:r>
      <w:r>
        <w:rPr>
          <w:rFonts w:hint="default" w:ascii="Times New Roman" w:hAnsi="Times New Roman" w:eastAsia="宋体" w:cs="Times New Roman"/>
          <w:color w:val="auto"/>
          <w:sz w:val="24"/>
          <w:szCs w:val="24"/>
          <w:highlight w:val="none"/>
          <w:lang w:val="en-US" w:eastAsia="zh-CN"/>
        </w:rPr>
        <w:t>.4-1。</w:t>
      </w:r>
    </w:p>
    <w:p>
      <w:pPr>
        <w:pStyle w:val="2"/>
        <w:rPr>
          <w:rFonts w:hint="default"/>
          <w:color w:val="auto"/>
          <w:highlight w:val="none"/>
          <w:lang w:val="en-US" w:eastAsia="zh-CN"/>
        </w:rPr>
      </w:pPr>
    </w:p>
    <w:p>
      <w:pPr>
        <w:spacing w:line="360" w:lineRule="auto"/>
        <w:jc w:val="center"/>
        <w:rPr>
          <w:rFonts w:hint="eastAsia" w:ascii="宋体" w:hAnsi="宋体" w:eastAsia="宋体" w:cs="宋体"/>
          <w:color w:val="auto"/>
          <w:sz w:val="24"/>
          <w:szCs w:val="24"/>
          <w:highlight w:val="none"/>
          <w:lang w:val="en-US" w:eastAsia="zh-CN"/>
        </w:rPr>
      </w:pPr>
      <w:r>
        <w:rPr>
          <w:rFonts w:hint="default"/>
          <w:b/>
          <w:bCs/>
          <w:color w:val="auto"/>
          <w:highlight w:val="none"/>
          <w:lang w:val="en-US" w:eastAsia="zh-CN"/>
        </w:rPr>
        <w:t>表</w:t>
      </w:r>
      <w:r>
        <w:rPr>
          <w:rFonts w:hint="eastAsia"/>
          <w:b/>
          <w:bCs/>
          <w:color w:val="auto"/>
          <w:highlight w:val="none"/>
          <w:lang w:val="en-US" w:eastAsia="zh-CN"/>
        </w:rPr>
        <w:t>1.4</w:t>
      </w:r>
      <w:r>
        <w:rPr>
          <w:rFonts w:hint="default"/>
          <w:b/>
          <w:bCs/>
          <w:color w:val="auto"/>
          <w:highlight w:val="none"/>
          <w:lang w:val="en-US" w:eastAsia="zh-CN"/>
        </w:rPr>
        <w:t>-1   洋坑水库</w:t>
      </w:r>
      <w:r>
        <w:rPr>
          <w:rFonts w:hint="eastAsia"/>
          <w:b/>
          <w:bCs/>
          <w:color w:val="auto"/>
          <w:highlight w:val="none"/>
          <w:lang w:val="en-US" w:eastAsia="zh-CN"/>
        </w:rPr>
        <w:t>特征水位成果对比</w:t>
      </w:r>
      <w:r>
        <w:rPr>
          <w:rFonts w:hint="default"/>
          <w:b/>
          <w:bCs/>
          <w:color w:val="auto"/>
          <w:highlight w:val="none"/>
          <w:lang w:val="en-US" w:eastAsia="zh-CN"/>
        </w:rPr>
        <w:t>表</w:t>
      </w:r>
    </w:p>
    <w:tbl>
      <w:tblPr>
        <w:tblStyle w:val="23"/>
        <w:tblW w:w="79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44"/>
        <w:gridCol w:w="2790"/>
        <w:gridCol w:w="2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2264" w:type="dxa"/>
            <w:noWrap/>
            <w:vAlign w:val="center"/>
          </w:tcPr>
          <w:p>
            <w:pPr>
              <w:jc w:val="center"/>
              <w:rPr>
                <w:rFonts w:hint="default" w:ascii="Times New Roman" w:hAnsi="Times New Roman" w:eastAsia="宋体" w:cs="Times New Roman"/>
                <w:i w:val="0"/>
                <w:iCs w:val="0"/>
                <w:color w:val="auto"/>
                <w:sz w:val="21"/>
                <w:szCs w:val="21"/>
                <w:highlight w:val="none"/>
                <w:u w:val="none"/>
              </w:rPr>
            </w:pPr>
          </w:p>
        </w:tc>
        <w:tc>
          <w:tcPr>
            <w:tcW w:w="2790" w:type="dxa"/>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原设计成果</w:t>
            </w:r>
          </w:p>
        </w:tc>
        <w:tc>
          <w:tcPr>
            <w:tcW w:w="2940" w:type="dxa"/>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本次除险加固复核成果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0" w:type="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正常蓄水位</w:t>
            </w:r>
          </w:p>
        </w:tc>
        <w:tc>
          <w:tcPr>
            <w:tcW w:w="0" w:type="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225.7</w:t>
            </w:r>
          </w:p>
        </w:tc>
        <w:tc>
          <w:tcPr>
            <w:tcW w:w="0" w:type="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223.8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0" w:type="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50年一遇设计洪水位</w:t>
            </w:r>
          </w:p>
        </w:tc>
        <w:tc>
          <w:tcPr>
            <w:tcW w:w="0" w:type="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228.62</w:t>
            </w:r>
          </w:p>
        </w:tc>
        <w:tc>
          <w:tcPr>
            <w:tcW w:w="0" w:type="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226.73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0" w:type="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500年一遇校核洪水位</w:t>
            </w:r>
          </w:p>
        </w:tc>
        <w:tc>
          <w:tcPr>
            <w:tcW w:w="0" w:type="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229.38</w:t>
            </w:r>
          </w:p>
        </w:tc>
        <w:tc>
          <w:tcPr>
            <w:tcW w:w="0" w:type="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227.53</w:t>
            </w:r>
          </w:p>
        </w:tc>
      </w:tr>
    </w:tbl>
    <w:p>
      <w:pPr>
        <w:keepNext w:val="0"/>
        <w:keepLines w:val="0"/>
        <w:pageBreakBefore w:val="0"/>
        <w:kinsoku/>
        <w:wordWrap/>
        <w:overflowPunct/>
        <w:topLinePunct w:val="0"/>
        <w:autoSpaceDE/>
        <w:autoSpaceDN/>
        <w:bidi w:val="0"/>
        <w:adjustRightInd/>
        <w:snapToGrid/>
        <w:spacing w:line="500" w:lineRule="exact"/>
        <w:ind w:firstLine="480" w:firstLineChars="200"/>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由表4.4-1可知，本次复核计算得到的设计洪水位与校核洪水位均低于原设计成果</w:t>
      </w:r>
      <w:r>
        <w:rPr>
          <w:rFonts w:hint="eastAsia" w:ascii="Times New Roman" w:hAnsi="Times New Roman" w:eastAsia="宋体" w:cs="Times New Roman"/>
          <w:color w:val="auto"/>
          <w:sz w:val="24"/>
          <w:szCs w:val="24"/>
          <w:highlight w:val="none"/>
          <w:lang w:val="en-US" w:eastAsia="zh-CN"/>
        </w:rPr>
        <w:t>。其差别的主要原因为：原设计中，水库调洪起调水位为225.7m；本次设计中，水库起调水位为堰顶高程223.8m。</w:t>
      </w:r>
    </w:p>
    <w:p>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rFonts w:hint="eastAsia"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从水库运行安全角度考虑</w:t>
      </w:r>
      <w:r>
        <w:rPr>
          <w:rFonts w:hint="eastAsia" w:ascii="Times New Roman" w:hAnsi="Times New Roman" w:eastAsia="宋体" w:cs="Times New Roman"/>
          <w:color w:val="auto"/>
          <w:sz w:val="24"/>
          <w:szCs w:val="24"/>
          <w:highlight w:val="none"/>
          <w:lang w:val="en-US" w:eastAsia="zh-CN"/>
        </w:rPr>
        <w:t>，本次除险加固设计中的设计洪水位和校核洪水位沿用原设计成果，正常蓄水位由原来的225.7m调至223.8m。</w:t>
      </w:r>
    </w:p>
    <w:p>
      <w:pPr>
        <w:pStyle w:val="6"/>
        <w:bidi w:val="0"/>
        <w:rPr>
          <w:rFonts w:hint="default"/>
          <w:color w:val="auto"/>
          <w:highlight w:val="none"/>
          <w:lang w:val="en-US" w:eastAsia="zh-CN"/>
        </w:rPr>
      </w:pPr>
      <w:r>
        <w:rPr>
          <w:rFonts w:hint="eastAsia"/>
          <w:color w:val="auto"/>
          <w:highlight w:val="none"/>
          <w:lang w:val="en-US" w:eastAsia="zh-CN"/>
        </w:rPr>
        <w:t>1.4.2.2</w:t>
      </w:r>
      <w:r>
        <w:rPr>
          <w:rFonts w:hint="default"/>
          <w:color w:val="auto"/>
          <w:highlight w:val="none"/>
          <w:lang w:val="en-US" w:eastAsia="zh-CN"/>
        </w:rPr>
        <w:t>工程等别及设计标准</w:t>
      </w:r>
    </w:p>
    <w:p>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both"/>
        <w:textAlignment w:val="auto"/>
        <w:rPr>
          <w:rFonts w:hint="default" w:ascii="Times New Roman" w:hAnsi="Times New Roman" w:eastAsia="宋体" w:cs="Times New Roman"/>
          <w:color w:val="auto"/>
          <w:kern w:val="0"/>
          <w:sz w:val="24"/>
          <w:szCs w:val="24"/>
          <w:highlight w:val="none"/>
          <w:lang w:val="en-US" w:eastAsia="zh-CN" w:bidi="ar"/>
        </w:rPr>
      </w:pPr>
      <w:r>
        <w:rPr>
          <w:rFonts w:hint="default" w:ascii="Times New Roman" w:hAnsi="Times New Roman" w:eastAsia="宋体" w:cs="Times New Roman"/>
          <w:color w:val="auto"/>
          <w:kern w:val="2"/>
          <w:sz w:val="24"/>
          <w:szCs w:val="24"/>
          <w:highlight w:val="none"/>
          <w:lang w:val="en-US" w:eastAsia="zh-CN" w:bidi="ar-SA"/>
        </w:rPr>
        <w:t>洋坑水库</w:t>
      </w:r>
      <w:r>
        <w:rPr>
          <w:rFonts w:hint="eastAsia" w:ascii="Times New Roman" w:hAnsi="Times New Roman" w:eastAsia="宋体" w:cs="Times New Roman"/>
          <w:color w:val="auto"/>
          <w:kern w:val="2"/>
          <w:sz w:val="24"/>
          <w:szCs w:val="24"/>
          <w:highlight w:val="none"/>
          <w:lang w:val="en-US" w:eastAsia="zh-CN" w:bidi="ar-SA"/>
        </w:rPr>
        <w:t>总</w:t>
      </w:r>
      <w:r>
        <w:rPr>
          <w:rFonts w:hint="default" w:ascii="Times New Roman" w:hAnsi="Times New Roman" w:eastAsia="宋体" w:cs="Times New Roman"/>
          <w:color w:val="auto"/>
          <w:kern w:val="2"/>
          <w:sz w:val="24"/>
          <w:szCs w:val="24"/>
          <w:highlight w:val="none"/>
          <w:lang w:val="en-US" w:eastAsia="zh-CN" w:bidi="ar-SA"/>
        </w:rPr>
        <w:t>库容为</w:t>
      </w:r>
      <w:r>
        <w:rPr>
          <w:rFonts w:hint="eastAsia" w:eastAsia="宋体"/>
          <w:color w:val="auto"/>
          <w:sz w:val="24"/>
          <w:szCs w:val="32"/>
          <w:highlight w:val="none"/>
          <w:lang w:eastAsia="zh-CN"/>
        </w:rPr>
        <w:t>396</w:t>
      </w:r>
      <w:r>
        <w:rPr>
          <w:rFonts w:hint="default" w:ascii="Times New Roman" w:hAnsi="Times New Roman" w:eastAsia="宋体" w:cs="Times New Roman"/>
          <w:color w:val="auto"/>
          <w:kern w:val="2"/>
          <w:sz w:val="24"/>
          <w:szCs w:val="24"/>
          <w:highlight w:val="none"/>
          <w:lang w:val="en-US" w:eastAsia="zh-CN" w:bidi="ar-SA"/>
        </w:rPr>
        <w:t>万m</w:t>
      </w:r>
      <w:r>
        <w:rPr>
          <w:rFonts w:hint="default" w:ascii="Times New Roman" w:hAnsi="Times New Roman" w:eastAsia="宋体" w:cs="Times New Roman"/>
          <w:color w:val="auto"/>
          <w:kern w:val="2"/>
          <w:sz w:val="24"/>
          <w:szCs w:val="24"/>
          <w:highlight w:val="none"/>
          <w:vertAlign w:val="superscript"/>
          <w:lang w:val="en-US" w:eastAsia="zh-CN" w:bidi="ar-SA"/>
        </w:rPr>
        <w:t>3</w:t>
      </w:r>
      <w:r>
        <w:rPr>
          <w:rFonts w:hint="default" w:ascii="Times New Roman" w:hAnsi="Times New Roman" w:eastAsia="宋体" w:cs="Times New Roman"/>
          <w:color w:val="auto"/>
          <w:kern w:val="2"/>
          <w:sz w:val="24"/>
          <w:szCs w:val="24"/>
          <w:highlight w:val="none"/>
          <w:lang w:val="en-US" w:eastAsia="zh-CN" w:bidi="ar-SA"/>
        </w:rPr>
        <w:t>，根据《水利水电工程等级划分及洪水标准》（SL252－2017）的标准划分，属于小（1）型水库工程。工程等别Ⅳ等，主要建筑物级别 4 级，次要建筑物级别 5 级，洪水标准按50年一遇设计，500年一遇校核</w:t>
      </w:r>
      <w:r>
        <w:rPr>
          <w:rFonts w:hint="eastAsia" w:ascii="Times New Roman" w:hAnsi="Times New Roman" w:eastAsia="宋体" w:cs="Times New Roman"/>
          <w:color w:val="auto"/>
          <w:kern w:val="2"/>
          <w:sz w:val="24"/>
          <w:szCs w:val="24"/>
          <w:highlight w:val="none"/>
          <w:lang w:val="en-US" w:eastAsia="zh-CN" w:bidi="ar-SA"/>
        </w:rPr>
        <w:t>，</w:t>
      </w:r>
      <w:r>
        <w:rPr>
          <w:rFonts w:hint="default" w:ascii="Times New Roman" w:hAnsi="Times New Roman" w:eastAsia="宋体" w:cs="Times New Roman"/>
          <w:color w:val="auto"/>
          <w:kern w:val="0"/>
          <w:sz w:val="24"/>
          <w:szCs w:val="24"/>
          <w:highlight w:val="none"/>
          <w:lang w:val="en-US" w:eastAsia="zh-CN" w:bidi="ar"/>
        </w:rPr>
        <w:t>消能防冲标准为20年一遇。</w:t>
      </w:r>
    </w:p>
    <w:p>
      <w:pPr>
        <w:pStyle w:val="6"/>
        <w:bidi w:val="0"/>
        <w:rPr>
          <w:rFonts w:hint="default"/>
          <w:color w:val="auto"/>
          <w:highlight w:val="none"/>
          <w:lang w:val="en-US" w:eastAsia="zh-CN"/>
        </w:rPr>
      </w:pPr>
      <w:r>
        <w:rPr>
          <w:rFonts w:hint="eastAsia"/>
          <w:color w:val="auto"/>
          <w:highlight w:val="none"/>
          <w:lang w:val="en-US" w:eastAsia="zh-CN"/>
        </w:rPr>
        <w:t>1.4.2.2</w:t>
      </w:r>
      <w:r>
        <w:rPr>
          <w:rFonts w:hint="default"/>
          <w:color w:val="auto"/>
          <w:highlight w:val="none"/>
          <w:lang w:val="en-US" w:eastAsia="zh-CN"/>
        </w:rPr>
        <w:t>工程规模</w:t>
      </w:r>
    </w:p>
    <w:p>
      <w:pPr>
        <w:widowControl/>
        <w:spacing w:line="500" w:lineRule="exact"/>
        <w:ind w:firstLine="480" w:firstLineChars="200"/>
        <w:jc w:val="left"/>
        <w:rPr>
          <w:rFonts w:hint="default"/>
          <w:color w:val="auto"/>
          <w:highlight w:val="none"/>
          <w:lang w:val="en-US" w:eastAsia="zh-CN"/>
        </w:rPr>
      </w:pPr>
      <w:r>
        <w:rPr>
          <w:rFonts w:hint="default" w:ascii="Times New Roman" w:hAnsi="Times New Roman" w:eastAsia="宋体" w:cs="Times New Roman"/>
          <w:color w:val="auto"/>
          <w:kern w:val="2"/>
          <w:sz w:val="24"/>
          <w:szCs w:val="24"/>
          <w:highlight w:val="none"/>
          <w:lang w:val="en-US" w:eastAsia="zh-CN" w:bidi="ar-SA"/>
        </w:rPr>
        <w:t>洋坑水库集雨面积12.4km</w:t>
      </w:r>
      <w:r>
        <w:rPr>
          <w:rFonts w:hint="default" w:ascii="Times New Roman" w:hAnsi="Times New Roman" w:eastAsia="宋体" w:cs="Times New Roman"/>
          <w:color w:val="auto"/>
          <w:kern w:val="2"/>
          <w:sz w:val="24"/>
          <w:szCs w:val="24"/>
          <w:highlight w:val="none"/>
          <w:vertAlign w:val="superscript"/>
          <w:lang w:val="en-US" w:eastAsia="zh-CN" w:bidi="ar-SA"/>
        </w:rPr>
        <w:t>2</w:t>
      </w:r>
      <w:r>
        <w:rPr>
          <w:rFonts w:hint="default" w:ascii="Times New Roman" w:hAnsi="Times New Roman" w:eastAsia="宋体" w:cs="Times New Roman"/>
          <w:color w:val="auto"/>
          <w:kern w:val="2"/>
          <w:sz w:val="24"/>
          <w:szCs w:val="24"/>
          <w:highlight w:val="none"/>
          <w:lang w:val="en-US" w:eastAsia="zh-CN" w:bidi="ar-SA"/>
        </w:rPr>
        <w:t>，坝址以上干流河长5.5km，河道平均坡降85‰。洋坑水库正常蓄水位</w:t>
      </w:r>
      <w:r>
        <w:rPr>
          <w:rFonts w:hint="eastAsia" w:ascii="Times New Roman" w:hAnsi="Times New Roman" w:eastAsia="宋体" w:cs="Times New Roman"/>
          <w:color w:val="auto"/>
          <w:kern w:val="2"/>
          <w:sz w:val="24"/>
          <w:szCs w:val="24"/>
          <w:highlight w:val="none"/>
          <w:lang w:val="en-US" w:eastAsia="zh-CN" w:bidi="ar-SA"/>
        </w:rPr>
        <w:t>为223.8</w:t>
      </w:r>
      <w:r>
        <w:rPr>
          <w:rFonts w:hint="default" w:ascii="Times New Roman" w:hAnsi="Times New Roman" w:eastAsia="宋体" w:cs="Times New Roman"/>
          <w:color w:val="auto"/>
          <w:kern w:val="2"/>
          <w:sz w:val="24"/>
          <w:szCs w:val="24"/>
          <w:highlight w:val="none"/>
          <w:lang w:val="en-US" w:eastAsia="zh-CN" w:bidi="ar-SA"/>
        </w:rPr>
        <w:t>m，50年一遇设计洪水</w:t>
      </w:r>
      <w:r>
        <w:rPr>
          <w:rFonts w:hint="eastAsia" w:ascii="Times New Roman" w:hAnsi="Times New Roman" w:eastAsia="宋体" w:cs="Times New Roman"/>
          <w:color w:val="auto"/>
          <w:kern w:val="2"/>
          <w:sz w:val="24"/>
          <w:szCs w:val="24"/>
          <w:highlight w:val="none"/>
          <w:lang w:val="en-US" w:eastAsia="zh-CN" w:bidi="ar-SA"/>
        </w:rPr>
        <w:t>位为228.62</w:t>
      </w:r>
      <w:r>
        <w:rPr>
          <w:rFonts w:hint="default" w:ascii="Times New Roman" w:hAnsi="Times New Roman" w:eastAsia="宋体" w:cs="Times New Roman"/>
          <w:color w:val="auto"/>
          <w:kern w:val="2"/>
          <w:sz w:val="24"/>
          <w:szCs w:val="24"/>
          <w:highlight w:val="none"/>
          <w:lang w:val="en-US" w:eastAsia="zh-CN" w:bidi="ar-SA"/>
        </w:rPr>
        <w:t>m，相应库容</w:t>
      </w:r>
      <w:r>
        <w:rPr>
          <w:rFonts w:hint="eastAsia" w:ascii="Times New Roman" w:hAnsi="Times New Roman" w:eastAsia="宋体" w:cs="Times New Roman"/>
          <w:color w:val="auto"/>
          <w:kern w:val="2"/>
          <w:sz w:val="24"/>
          <w:szCs w:val="24"/>
          <w:highlight w:val="none"/>
          <w:lang w:val="en-US" w:eastAsia="zh-CN" w:bidi="ar-SA"/>
        </w:rPr>
        <w:t>369</w:t>
      </w:r>
      <w:r>
        <w:rPr>
          <w:rFonts w:hint="default" w:ascii="Times New Roman" w:hAnsi="Times New Roman" w:eastAsia="宋体" w:cs="Times New Roman"/>
          <w:color w:val="auto"/>
          <w:kern w:val="2"/>
          <w:sz w:val="24"/>
          <w:szCs w:val="24"/>
          <w:highlight w:val="none"/>
          <w:lang w:val="en-US" w:eastAsia="zh-CN" w:bidi="ar-SA"/>
        </w:rPr>
        <w:t>万m</w:t>
      </w:r>
      <w:r>
        <w:rPr>
          <w:rFonts w:hint="default" w:ascii="Times New Roman" w:hAnsi="Times New Roman" w:eastAsia="宋体" w:cs="Times New Roman"/>
          <w:color w:val="auto"/>
          <w:kern w:val="2"/>
          <w:sz w:val="24"/>
          <w:szCs w:val="24"/>
          <w:highlight w:val="none"/>
          <w:vertAlign w:val="superscript"/>
          <w:lang w:val="en-US" w:eastAsia="zh-CN" w:bidi="ar-SA"/>
        </w:rPr>
        <w:t>3</w:t>
      </w:r>
      <w:r>
        <w:rPr>
          <w:rFonts w:hint="default" w:ascii="Times New Roman" w:hAnsi="Times New Roman" w:eastAsia="宋体" w:cs="Times New Roman"/>
          <w:color w:val="auto"/>
          <w:kern w:val="2"/>
          <w:sz w:val="24"/>
          <w:szCs w:val="24"/>
          <w:highlight w:val="none"/>
          <w:lang w:val="en-US" w:eastAsia="zh-CN" w:bidi="ar-SA"/>
        </w:rPr>
        <w:t>，500年一遇校核洪水位</w:t>
      </w:r>
      <w:r>
        <w:rPr>
          <w:rFonts w:hint="eastAsia" w:ascii="Times New Roman" w:hAnsi="Times New Roman" w:eastAsia="宋体" w:cs="Times New Roman"/>
          <w:color w:val="auto"/>
          <w:kern w:val="2"/>
          <w:sz w:val="24"/>
          <w:szCs w:val="24"/>
          <w:highlight w:val="none"/>
          <w:lang w:val="en-US" w:eastAsia="zh-CN" w:bidi="ar-SA"/>
        </w:rPr>
        <w:t>为</w:t>
      </w:r>
      <w:r>
        <w:rPr>
          <w:rFonts w:hint="default" w:ascii="Times New Roman" w:hAnsi="Times New Roman" w:eastAsia="宋体" w:cs="Times New Roman"/>
          <w:color w:val="auto"/>
          <w:kern w:val="2"/>
          <w:sz w:val="24"/>
          <w:szCs w:val="24"/>
          <w:highlight w:val="none"/>
          <w:lang w:val="en-US" w:eastAsia="zh-CN" w:bidi="ar-SA"/>
        </w:rPr>
        <w:t>22</w:t>
      </w:r>
      <w:r>
        <w:rPr>
          <w:rFonts w:hint="eastAsia" w:ascii="Times New Roman" w:hAnsi="Times New Roman" w:eastAsia="宋体" w:cs="Times New Roman"/>
          <w:color w:val="auto"/>
          <w:kern w:val="2"/>
          <w:sz w:val="24"/>
          <w:szCs w:val="24"/>
          <w:highlight w:val="none"/>
          <w:lang w:val="en-US" w:eastAsia="zh-CN" w:bidi="ar-SA"/>
        </w:rPr>
        <w:t>9.38</w:t>
      </w:r>
      <w:r>
        <w:rPr>
          <w:rFonts w:hint="default" w:ascii="Times New Roman" w:hAnsi="Times New Roman" w:eastAsia="宋体" w:cs="Times New Roman"/>
          <w:color w:val="auto"/>
          <w:kern w:val="2"/>
          <w:sz w:val="24"/>
          <w:szCs w:val="24"/>
          <w:highlight w:val="none"/>
          <w:lang w:val="en-US" w:eastAsia="zh-CN" w:bidi="ar-SA"/>
        </w:rPr>
        <w:t>m，相应库容</w:t>
      </w:r>
      <w:r>
        <w:rPr>
          <w:rFonts w:hint="eastAsia" w:ascii="Times New Roman" w:hAnsi="Times New Roman" w:eastAsia="宋体" w:cs="Times New Roman"/>
          <w:color w:val="auto"/>
          <w:kern w:val="2"/>
          <w:sz w:val="24"/>
          <w:szCs w:val="24"/>
          <w:highlight w:val="none"/>
          <w:lang w:val="en-US" w:eastAsia="zh-CN" w:bidi="ar-SA"/>
        </w:rPr>
        <w:t>396</w:t>
      </w:r>
      <w:r>
        <w:rPr>
          <w:rFonts w:hint="default" w:ascii="Times New Roman" w:hAnsi="Times New Roman" w:eastAsia="宋体" w:cs="Times New Roman"/>
          <w:color w:val="auto"/>
          <w:kern w:val="2"/>
          <w:sz w:val="24"/>
          <w:szCs w:val="24"/>
          <w:highlight w:val="none"/>
          <w:lang w:val="en-US" w:eastAsia="zh-CN" w:bidi="ar-SA"/>
        </w:rPr>
        <w:t>万m</w:t>
      </w:r>
      <w:r>
        <w:rPr>
          <w:rFonts w:hint="default" w:ascii="Times New Roman" w:hAnsi="Times New Roman" w:eastAsia="宋体" w:cs="Times New Roman"/>
          <w:color w:val="auto"/>
          <w:kern w:val="2"/>
          <w:sz w:val="24"/>
          <w:szCs w:val="24"/>
          <w:highlight w:val="none"/>
          <w:vertAlign w:val="superscript"/>
          <w:lang w:val="en-US" w:eastAsia="zh-CN" w:bidi="ar-SA"/>
        </w:rPr>
        <w:t>3</w:t>
      </w:r>
      <w:r>
        <w:rPr>
          <w:rFonts w:hint="eastAsia" w:ascii="Times New Roman" w:hAnsi="Times New Roman" w:eastAsia="宋体" w:cs="Times New Roman"/>
          <w:color w:val="auto"/>
          <w:kern w:val="2"/>
          <w:sz w:val="24"/>
          <w:szCs w:val="24"/>
          <w:highlight w:val="none"/>
          <w:lang w:val="en-US" w:eastAsia="zh-CN" w:bidi="ar-SA"/>
        </w:rPr>
        <w:t>，</w:t>
      </w:r>
      <w:r>
        <w:rPr>
          <w:rFonts w:hint="default" w:ascii="Times New Roman" w:hAnsi="Times New Roman" w:eastAsia="宋体" w:cs="Times New Roman"/>
          <w:color w:val="auto"/>
          <w:kern w:val="2"/>
          <w:sz w:val="24"/>
          <w:szCs w:val="24"/>
          <w:highlight w:val="none"/>
          <w:lang w:val="en-US" w:eastAsia="zh-CN" w:bidi="ar-SA"/>
        </w:rPr>
        <w:t>是一宗以灌溉为主结合防洪</w:t>
      </w:r>
      <w:r>
        <w:rPr>
          <w:rFonts w:hint="eastAsia" w:ascii="Times New Roman" w:hAnsi="Times New Roman" w:eastAsia="宋体" w:cs="Times New Roman"/>
          <w:color w:val="auto"/>
          <w:kern w:val="2"/>
          <w:sz w:val="24"/>
          <w:szCs w:val="24"/>
          <w:highlight w:val="none"/>
          <w:lang w:val="en-US" w:eastAsia="zh-CN" w:bidi="ar-SA"/>
        </w:rPr>
        <w:t>、发电</w:t>
      </w:r>
      <w:r>
        <w:rPr>
          <w:rFonts w:hint="default" w:ascii="Times New Roman" w:hAnsi="Times New Roman" w:eastAsia="宋体" w:cs="Times New Roman"/>
          <w:color w:val="auto"/>
          <w:kern w:val="2"/>
          <w:sz w:val="24"/>
          <w:szCs w:val="24"/>
          <w:highlight w:val="none"/>
          <w:lang w:val="en-US" w:eastAsia="zh-CN" w:bidi="ar-SA"/>
        </w:rPr>
        <w:t>的小（</w:t>
      </w:r>
      <w:r>
        <w:rPr>
          <w:rFonts w:hint="eastAsia" w:ascii="Times New Roman" w:hAnsi="Times New Roman" w:eastAsia="宋体" w:cs="Times New Roman"/>
          <w:color w:val="auto"/>
          <w:kern w:val="2"/>
          <w:sz w:val="24"/>
          <w:szCs w:val="24"/>
          <w:highlight w:val="none"/>
          <w:lang w:val="en-US" w:eastAsia="zh-CN" w:bidi="ar-SA"/>
        </w:rPr>
        <w:t>1</w:t>
      </w:r>
      <w:r>
        <w:rPr>
          <w:rFonts w:hint="default" w:ascii="Times New Roman" w:hAnsi="Times New Roman" w:eastAsia="宋体" w:cs="Times New Roman"/>
          <w:color w:val="auto"/>
          <w:kern w:val="2"/>
          <w:sz w:val="24"/>
          <w:szCs w:val="24"/>
          <w:highlight w:val="none"/>
          <w:lang w:val="en-US" w:eastAsia="zh-CN" w:bidi="ar-SA"/>
        </w:rPr>
        <w:t>）型水库。</w:t>
      </w:r>
    </w:p>
    <w:p>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rFonts w:hint="default" w:ascii="Times New Roman" w:hAnsi="Times New Roman" w:eastAsia="宋体" w:cs="Times New Roman"/>
          <w:color w:val="auto"/>
          <w:kern w:val="2"/>
          <w:sz w:val="24"/>
          <w:szCs w:val="24"/>
          <w:highlight w:val="none"/>
          <w:lang w:val="en-US" w:eastAsia="zh-CN" w:bidi="ar-SA"/>
        </w:rPr>
      </w:pPr>
      <w:r>
        <w:rPr>
          <w:rFonts w:hint="default" w:ascii="Times New Roman" w:hAnsi="Times New Roman" w:eastAsia="宋体" w:cs="Times New Roman"/>
          <w:color w:val="auto"/>
          <w:kern w:val="2"/>
          <w:sz w:val="24"/>
          <w:szCs w:val="24"/>
          <w:highlight w:val="none"/>
          <w:lang w:val="en-US" w:eastAsia="zh-CN" w:bidi="ar-SA"/>
        </w:rPr>
        <w:t>水库枢纽主要建筑物包括：大坝、溢洪道、输水涵管等。</w:t>
      </w:r>
    </w:p>
    <w:p>
      <w:pPr>
        <w:rPr>
          <w:rFonts w:hint="default" w:ascii="宋体" w:hAnsi="宋体" w:eastAsia="宋体" w:cs="宋体"/>
          <w:color w:val="auto"/>
          <w:kern w:val="2"/>
          <w:sz w:val="24"/>
          <w:szCs w:val="24"/>
          <w:highlight w:val="none"/>
          <w:lang w:val="en-US" w:eastAsia="zh-CN" w:bidi="ar-SA"/>
        </w:rPr>
      </w:pPr>
      <w:r>
        <w:rPr>
          <w:rFonts w:hint="default" w:ascii="宋体" w:hAnsi="宋体" w:eastAsia="宋体" w:cs="宋体"/>
          <w:color w:val="auto"/>
          <w:kern w:val="2"/>
          <w:sz w:val="24"/>
          <w:szCs w:val="24"/>
          <w:highlight w:val="none"/>
          <w:lang w:val="en-US" w:eastAsia="zh-CN" w:bidi="ar-SA"/>
        </w:rPr>
        <w:t>本次除险加固不改变原设计工程规模。</w:t>
      </w:r>
    </w:p>
    <w:p>
      <w:pPr>
        <w:pStyle w:val="5"/>
        <w:bidi w:val="0"/>
        <w:rPr>
          <w:rFonts w:hint="default"/>
          <w:color w:val="auto"/>
          <w:highlight w:val="none"/>
          <w:lang w:val="en-US" w:eastAsia="zh-CN"/>
        </w:rPr>
      </w:pPr>
      <w:r>
        <w:rPr>
          <w:rFonts w:hint="eastAsia"/>
          <w:color w:val="auto"/>
          <w:highlight w:val="none"/>
          <w:lang w:val="en-US" w:eastAsia="zh-CN"/>
        </w:rPr>
        <w:t>1.4.3调洪演算结果</w:t>
      </w:r>
    </w:p>
    <w:p>
      <w:pPr>
        <w:keepNext w:val="0"/>
        <w:keepLines w:val="0"/>
        <w:pageBreakBefore w:val="0"/>
        <w:kinsoku/>
        <w:wordWrap/>
        <w:overflowPunct/>
        <w:topLinePunct w:val="0"/>
        <w:autoSpaceDE/>
        <w:autoSpaceDN/>
        <w:bidi w:val="0"/>
        <w:adjustRightInd/>
        <w:snapToGrid/>
        <w:spacing w:line="500" w:lineRule="exact"/>
        <w:ind w:firstLine="480" w:firstLineChars="200"/>
        <w:textAlignment w:val="auto"/>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根据</w:t>
      </w:r>
      <w:r>
        <w:rPr>
          <w:rFonts w:hint="default" w:ascii="Times New Roman" w:hAnsi="Times New Roman" w:eastAsia="宋体" w:cs="Times New Roman"/>
          <w:color w:val="auto"/>
          <w:sz w:val="24"/>
          <w:szCs w:val="24"/>
          <w:highlight w:val="none"/>
          <w:lang w:val="en-US" w:eastAsia="zh-CN"/>
        </w:rPr>
        <w:t>资料，采用广东省</w:t>
      </w:r>
      <w:r>
        <w:rPr>
          <w:rFonts w:hint="eastAsia" w:ascii="Times New Roman" w:hAnsi="Times New Roman" w:eastAsia="宋体" w:cs="Times New Roman"/>
          <w:color w:val="auto"/>
          <w:sz w:val="24"/>
          <w:szCs w:val="24"/>
          <w:highlight w:val="none"/>
          <w:lang w:val="en-US" w:eastAsia="zh-CN"/>
        </w:rPr>
        <w:t>水文水利计算软件平台</w:t>
      </w:r>
      <w:r>
        <w:rPr>
          <w:rFonts w:hint="default" w:ascii="Times New Roman" w:hAnsi="Times New Roman" w:eastAsia="宋体" w:cs="Times New Roman"/>
          <w:color w:val="auto"/>
          <w:sz w:val="24"/>
          <w:szCs w:val="24"/>
          <w:highlight w:val="none"/>
          <w:lang w:val="en-US" w:eastAsia="zh-CN"/>
        </w:rPr>
        <w:t>进行调洪</w:t>
      </w:r>
      <w:r>
        <w:rPr>
          <w:rFonts w:hint="eastAsia" w:ascii="Times New Roman" w:hAnsi="Times New Roman" w:eastAsia="宋体" w:cs="Times New Roman"/>
          <w:color w:val="auto"/>
          <w:sz w:val="24"/>
          <w:szCs w:val="24"/>
          <w:highlight w:val="none"/>
          <w:lang w:val="en-US" w:eastAsia="zh-CN"/>
        </w:rPr>
        <w:t>演算</w:t>
      </w:r>
      <w:r>
        <w:rPr>
          <w:rFonts w:hint="default" w:ascii="Times New Roman" w:hAnsi="Times New Roman" w:eastAsia="宋体" w:cs="Times New Roman"/>
          <w:color w:val="auto"/>
          <w:sz w:val="24"/>
          <w:szCs w:val="24"/>
          <w:highlight w:val="none"/>
          <w:lang w:val="en-US" w:eastAsia="zh-CN"/>
        </w:rPr>
        <w:t>，</w:t>
      </w:r>
      <w:r>
        <w:rPr>
          <w:rFonts w:hint="eastAsia" w:ascii="Times New Roman" w:hAnsi="Times New Roman" w:eastAsia="宋体" w:cs="Times New Roman"/>
          <w:color w:val="auto"/>
          <w:sz w:val="24"/>
          <w:szCs w:val="24"/>
          <w:highlight w:val="none"/>
          <w:lang w:val="en-US" w:eastAsia="zh-CN"/>
        </w:rPr>
        <w:t>洋坑水库</w:t>
      </w:r>
      <w:r>
        <w:rPr>
          <w:rFonts w:hint="default" w:ascii="Times New Roman" w:hAnsi="Times New Roman" w:eastAsia="宋体" w:cs="Times New Roman"/>
          <w:color w:val="auto"/>
          <w:sz w:val="24"/>
          <w:szCs w:val="24"/>
          <w:highlight w:val="none"/>
          <w:lang w:val="en-US" w:eastAsia="zh-CN"/>
        </w:rPr>
        <w:t>调洪</w:t>
      </w:r>
      <w:r>
        <w:rPr>
          <w:rFonts w:hint="eastAsia" w:ascii="Times New Roman" w:hAnsi="Times New Roman" w:eastAsia="宋体" w:cs="Times New Roman"/>
          <w:color w:val="auto"/>
          <w:sz w:val="24"/>
          <w:szCs w:val="24"/>
          <w:highlight w:val="none"/>
          <w:lang w:val="en-US" w:eastAsia="zh-CN"/>
        </w:rPr>
        <w:t>计算成果</w:t>
      </w:r>
      <w:r>
        <w:rPr>
          <w:rFonts w:hint="default" w:ascii="Times New Roman" w:hAnsi="Times New Roman" w:eastAsia="宋体" w:cs="Times New Roman"/>
          <w:color w:val="auto"/>
          <w:sz w:val="24"/>
          <w:szCs w:val="24"/>
          <w:highlight w:val="none"/>
          <w:lang w:val="en-US" w:eastAsia="zh-CN"/>
        </w:rPr>
        <w:t>见表</w:t>
      </w:r>
      <w:r>
        <w:rPr>
          <w:rFonts w:hint="eastAsia" w:ascii="Times New Roman" w:hAnsi="Times New Roman" w:eastAsia="宋体" w:cs="Times New Roman"/>
          <w:color w:val="auto"/>
          <w:sz w:val="24"/>
          <w:szCs w:val="24"/>
          <w:highlight w:val="none"/>
          <w:lang w:val="en-US" w:eastAsia="zh-CN"/>
        </w:rPr>
        <w:t>1.4-</w:t>
      </w:r>
      <w:r>
        <w:rPr>
          <w:rFonts w:hint="eastAsia" w:cs="Times New Roman"/>
          <w:color w:val="auto"/>
          <w:sz w:val="24"/>
          <w:szCs w:val="24"/>
          <w:highlight w:val="none"/>
          <w:lang w:val="en-US" w:eastAsia="zh-CN"/>
        </w:rPr>
        <w:t>2</w:t>
      </w:r>
      <w:r>
        <w:rPr>
          <w:rFonts w:hint="default" w:ascii="Times New Roman" w:hAnsi="Times New Roman" w:eastAsia="宋体" w:cs="Times New Roman"/>
          <w:color w:val="auto"/>
          <w:sz w:val="24"/>
          <w:szCs w:val="24"/>
          <w:highlight w:val="none"/>
          <w:lang w:val="en-US" w:eastAsia="zh-CN"/>
        </w:rPr>
        <w:t>。</w:t>
      </w:r>
    </w:p>
    <w:p>
      <w:pPr>
        <w:pStyle w:val="73"/>
        <w:ind w:firstLine="482"/>
        <w:jc w:val="center"/>
        <w:rPr>
          <w:b w:val="0"/>
          <w:bCs/>
          <w:color w:val="auto"/>
          <w:highlight w:val="none"/>
        </w:rPr>
      </w:pPr>
      <w:r>
        <w:rPr>
          <w:b w:val="0"/>
          <w:bCs/>
          <w:color w:val="auto"/>
          <w:highlight w:val="none"/>
        </w:rPr>
        <w:t>表</w:t>
      </w:r>
      <w:r>
        <w:rPr>
          <w:rFonts w:hint="eastAsia"/>
          <w:b w:val="0"/>
          <w:bCs/>
          <w:color w:val="auto"/>
          <w:highlight w:val="none"/>
          <w:lang w:val="en-US" w:eastAsia="zh-CN"/>
        </w:rPr>
        <w:t xml:space="preserve">1.4-2  </w:t>
      </w:r>
      <w:r>
        <w:rPr>
          <w:b w:val="0"/>
          <w:bCs/>
          <w:color w:val="auto"/>
          <w:highlight w:val="none"/>
        </w:rPr>
        <w:t>调洪计算成果表</w:t>
      </w:r>
    </w:p>
    <w:tbl>
      <w:tblPr>
        <w:tblStyle w:val="23"/>
        <w:tblW w:w="51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0"/>
        <w:gridCol w:w="1900"/>
        <w:gridCol w:w="1600"/>
        <w:gridCol w:w="2538"/>
        <w:gridCol w:w="15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97" w:hRule="atLeast"/>
          <w:jc w:val="center"/>
        </w:trPr>
        <w:tc>
          <w:tcPr>
            <w:tcW w:w="1812" w:type="pct"/>
            <w:gridSpan w:val="2"/>
            <w:noWrap/>
            <w:vAlign w:val="center"/>
          </w:tcPr>
          <w:p>
            <w:pPr>
              <w:pStyle w:val="40"/>
              <w:jc w:val="center"/>
              <w:rPr>
                <w:color w:val="auto"/>
                <w:highlight w:val="none"/>
              </w:rPr>
            </w:pPr>
            <w:r>
              <w:rPr>
                <w:color w:val="auto"/>
                <w:highlight w:val="none"/>
              </w:rPr>
              <w:t>项目</w:t>
            </w:r>
          </w:p>
        </w:tc>
        <w:tc>
          <w:tcPr>
            <w:tcW w:w="903" w:type="pct"/>
            <w:noWrap/>
            <w:vAlign w:val="center"/>
          </w:tcPr>
          <w:p>
            <w:pPr>
              <w:pStyle w:val="40"/>
              <w:jc w:val="center"/>
              <w:rPr>
                <w:color w:val="auto"/>
                <w:highlight w:val="none"/>
              </w:rPr>
            </w:pPr>
            <w:r>
              <w:rPr>
                <w:color w:val="auto"/>
                <w:highlight w:val="none"/>
              </w:rPr>
              <w:t>单位</w:t>
            </w:r>
          </w:p>
        </w:tc>
        <w:tc>
          <w:tcPr>
            <w:tcW w:w="1432" w:type="pct"/>
            <w:noWrap/>
            <w:vAlign w:val="center"/>
          </w:tcPr>
          <w:p>
            <w:pPr>
              <w:pStyle w:val="40"/>
              <w:jc w:val="center"/>
              <w:rPr>
                <w:color w:val="auto"/>
                <w:sz w:val="24"/>
                <w:szCs w:val="24"/>
                <w:highlight w:val="none"/>
              </w:rPr>
            </w:pPr>
            <w:r>
              <w:rPr>
                <w:rFonts w:hint="eastAsia"/>
                <w:color w:val="auto"/>
                <w:sz w:val="24"/>
                <w:szCs w:val="24"/>
                <w:highlight w:val="none"/>
                <w:lang w:val="en-US" w:eastAsia="zh-CN"/>
              </w:rPr>
              <w:t>本次复核计算</w:t>
            </w:r>
            <w:r>
              <w:rPr>
                <w:color w:val="auto"/>
                <w:sz w:val="24"/>
                <w:szCs w:val="24"/>
                <w:highlight w:val="none"/>
              </w:rPr>
              <w:t>成果</w:t>
            </w:r>
          </w:p>
        </w:tc>
        <w:tc>
          <w:tcPr>
            <w:tcW w:w="851" w:type="pct"/>
            <w:noWrap/>
            <w:vAlign w:val="center"/>
          </w:tcPr>
          <w:p>
            <w:pPr>
              <w:pStyle w:val="40"/>
              <w:jc w:val="center"/>
              <w:rPr>
                <w:rFonts w:hint="default" w:eastAsia="宋体"/>
                <w:color w:val="auto"/>
                <w:sz w:val="24"/>
                <w:szCs w:val="24"/>
                <w:highlight w:val="none"/>
                <w:lang w:val="en-US" w:eastAsia="zh-CN"/>
              </w:rPr>
            </w:pPr>
            <w:r>
              <w:rPr>
                <w:rFonts w:hint="eastAsia"/>
                <w:color w:val="auto"/>
                <w:sz w:val="24"/>
                <w:szCs w:val="24"/>
                <w:highlight w:val="none"/>
                <w:lang w:val="en-US" w:eastAsia="zh-CN"/>
              </w:rPr>
              <w:t>原设计成果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812" w:type="pct"/>
            <w:gridSpan w:val="2"/>
            <w:noWrap/>
            <w:vAlign w:val="center"/>
          </w:tcPr>
          <w:p>
            <w:pPr>
              <w:pStyle w:val="40"/>
              <w:jc w:val="center"/>
              <w:rPr>
                <w:color w:val="auto"/>
                <w:highlight w:val="none"/>
              </w:rPr>
            </w:pPr>
            <w:r>
              <w:rPr>
                <w:color w:val="auto"/>
                <w:highlight w:val="none"/>
              </w:rPr>
              <w:t>起调水位</w:t>
            </w:r>
          </w:p>
        </w:tc>
        <w:tc>
          <w:tcPr>
            <w:tcW w:w="903" w:type="pct"/>
            <w:noWrap/>
            <w:vAlign w:val="center"/>
          </w:tcPr>
          <w:p>
            <w:pPr>
              <w:pStyle w:val="40"/>
              <w:jc w:val="center"/>
              <w:rPr>
                <w:color w:val="auto"/>
                <w:highlight w:val="none"/>
              </w:rPr>
            </w:pPr>
            <w:r>
              <w:rPr>
                <w:color w:val="auto"/>
                <w:highlight w:val="none"/>
              </w:rPr>
              <w:t>m</w:t>
            </w:r>
          </w:p>
        </w:tc>
        <w:tc>
          <w:tcPr>
            <w:tcW w:w="1432" w:type="pct"/>
            <w:noWrap/>
            <w:vAlign w:val="center"/>
          </w:tcPr>
          <w:p>
            <w:pPr>
              <w:pStyle w:val="40"/>
              <w:jc w:val="center"/>
              <w:rPr>
                <w:rFonts w:hint="default" w:eastAsia="宋体"/>
                <w:color w:val="auto"/>
                <w:sz w:val="24"/>
                <w:szCs w:val="24"/>
                <w:highlight w:val="none"/>
                <w:lang w:val="en-US" w:eastAsia="zh-CN"/>
              </w:rPr>
            </w:pPr>
            <w:r>
              <w:rPr>
                <w:rFonts w:hint="eastAsia"/>
                <w:color w:val="auto"/>
                <w:sz w:val="24"/>
                <w:szCs w:val="24"/>
                <w:highlight w:val="none"/>
                <w:lang w:val="en-US" w:eastAsia="zh-CN"/>
              </w:rPr>
              <w:t>223.8</w:t>
            </w:r>
          </w:p>
        </w:tc>
        <w:tc>
          <w:tcPr>
            <w:tcW w:w="851" w:type="pct"/>
            <w:noWrap/>
            <w:vAlign w:val="center"/>
          </w:tcPr>
          <w:p>
            <w:pPr>
              <w:pStyle w:val="40"/>
              <w:ind w:firstLine="0" w:firstLineChars="0"/>
              <w:jc w:val="center"/>
              <w:rPr>
                <w:rFonts w:hint="default" w:eastAsia="宋体"/>
                <w:color w:val="auto"/>
                <w:sz w:val="24"/>
                <w:szCs w:val="24"/>
                <w:highlight w:val="none"/>
                <w:lang w:val="en-US" w:eastAsia="zh-CN"/>
              </w:rPr>
            </w:pPr>
            <w:r>
              <w:rPr>
                <w:rFonts w:hint="eastAsia"/>
                <w:color w:val="auto"/>
                <w:sz w:val="24"/>
                <w:szCs w:val="24"/>
                <w:highlight w:val="none"/>
                <w:lang w:val="en-US" w:eastAsia="zh-CN"/>
              </w:rPr>
              <w:t>225.7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812" w:type="pct"/>
            <w:gridSpan w:val="2"/>
            <w:noWrap/>
            <w:vAlign w:val="center"/>
          </w:tcPr>
          <w:p>
            <w:pPr>
              <w:pStyle w:val="40"/>
              <w:jc w:val="center"/>
              <w:rPr>
                <w:color w:val="auto"/>
                <w:highlight w:val="none"/>
              </w:rPr>
            </w:pPr>
            <w:r>
              <w:rPr>
                <w:color w:val="auto"/>
                <w:highlight w:val="none"/>
              </w:rPr>
              <w:t>相应库容</w:t>
            </w:r>
          </w:p>
        </w:tc>
        <w:tc>
          <w:tcPr>
            <w:tcW w:w="903" w:type="pct"/>
            <w:noWrap/>
            <w:vAlign w:val="center"/>
          </w:tcPr>
          <w:p>
            <w:pPr>
              <w:pStyle w:val="40"/>
              <w:jc w:val="center"/>
              <w:rPr>
                <w:color w:val="auto"/>
                <w:highlight w:val="none"/>
              </w:rPr>
            </w:pPr>
            <w:r>
              <w:rPr>
                <w:color w:val="auto"/>
                <w:highlight w:val="none"/>
              </w:rPr>
              <w:t>万m³</w:t>
            </w:r>
          </w:p>
        </w:tc>
        <w:tc>
          <w:tcPr>
            <w:tcW w:w="1432" w:type="pct"/>
            <w:noWrap/>
            <w:vAlign w:val="center"/>
          </w:tcPr>
          <w:p>
            <w:pPr>
              <w:pStyle w:val="40"/>
              <w:jc w:val="center"/>
              <w:rPr>
                <w:rFonts w:hint="default" w:eastAsia="宋体"/>
                <w:color w:val="auto"/>
                <w:sz w:val="24"/>
                <w:szCs w:val="24"/>
                <w:highlight w:val="none"/>
                <w:lang w:val="en-US" w:eastAsia="zh-CN"/>
              </w:rPr>
            </w:pPr>
            <w:r>
              <w:rPr>
                <w:rFonts w:hint="eastAsia"/>
                <w:color w:val="auto"/>
                <w:sz w:val="24"/>
                <w:szCs w:val="24"/>
                <w:highlight w:val="none"/>
                <w:lang w:val="en-US" w:eastAsia="zh-CN"/>
              </w:rPr>
              <w:t>232.7</w:t>
            </w:r>
          </w:p>
        </w:tc>
        <w:tc>
          <w:tcPr>
            <w:tcW w:w="851" w:type="pct"/>
            <w:noWrap/>
            <w:vAlign w:val="center"/>
          </w:tcPr>
          <w:p>
            <w:pPr>
              <w:pStyle w:val="40"/>
              <w:ind w:firstLine="0" w:firstLineChars="0"/>
              <w:jc w:val="center"/>
              <w:rPr>
                <w:rFonts w:hint="eastAsia"/>
                <w:color w:val="auto"/>
                <w:sz w:val="24"/>
                <w:szCs w:val="24"/>
                <w:highlight w:val="none"/>
              </w:rPr>
            </w:pPr>
            <w:r>
              <w:rPr>
                <w:rFonts w:hint="eastAsia"/>
                <w:color w:val="auto"/>
                <w:sz w:val="24"/>
                <w:szCs w:val="24"/>
                <w:highlight w:val="none"/>
              </w:rPr>
              <w:t>285.5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97" w:hRule="atLeast"/>
          <w:jc w:val="center"/>
        </w:trPr>
        <w:tc>
          <w:tcPr>
            <w:tcW w:w="1812" w:type="pct"/>
            <w:gridSpan w:val="2"/>
            <w:noWrap/>
            <w:vAlign w:val="center"/>
          </w:tcPr>
          <w:p>
            <w:pPr>
              <w:pStyle w:val="40"/>
              <w:jc w:val="center"/>
              <w:rPr>
                <w:color w:val="auto"/>
                <w:highlight w:val="none"/>
              </w:rPr>
            </w:pPr>
            <w:r>
              <w:rPr>
                <w:color w:val="auto"/>
                <w:highlight w:val="none"/>
              </w:rPr>
              <w:t>溢洪道净宽</w:t>
            </w:r>
          </w:p>
        </w:tc>
        <w:tc>
          <w:tcPr>
            <w:tcW w:w="903" w:type="pct"/>
            <w:noWrap/>
            <w:vAlign w:val="center"/>
          </w:tcPr>
          <w:p>
            <w:pPr>
              <w:pStyle w:val="40"/>
              <w:jc w:val="center"/>
              <w:rPr>
                <w:color w:val="auto"/>
                <w:highlight w:val="none"/>
              </w:rPr>
            </w:pPr>
            <w:r>
              <w:rPr>
                <w:color w:val="auto"/>
                <w:highlight w:val="none"/>
              </w:rPr>
              <w:t>m</w:t>
            </w:r>
          </w:p>
        </w:tc>
        <w:tc>
          <w:tcPr>
            <w:tcW w:w="1432" w:type="pct"/>
            <w:noWrap/>
            <w:vAlign w:val="center"/>
          </w:tcPr>
          <w:p>
            <w:pPr>
              <w:pStyle w:val="40"/>
              <w:jc w:val="center"/>
              <w:rPr>
                <w:color w:val="auto"/>
                <w:sz w:val="24"/>
                <w:szCs w:val="24"/>
                <w:highlight w:val="none"/>
              </w:rPr>
            </w:pPr>
            <w:r>
              <w:rPr>
                <w:rFonts w:hint="eastAsia"/>
                <w:color w:val="auto"/>
                <w:sz w:val="24"/>
                <w:szCs w:val="24"/>
                <w:highlight w:val="none"/>
              </w:rPr>
              <w:t>18</w:t>
            </w:r>
          </w:p>
        </w:tc>
        <w:tc>
          <w:tcPr>
            <w:tcW w:w="851" w:type="pct"/>
            <w:noWrap/>
            <w:vAlign w:val="center"/>
          </w:tcPr>
          <w:p>
            <w:pPr>
              <w:pStyle w:val="40"/>
              <w:ind w:firstLine="0" w:firstLineChars="0"/>
              <w:jc w:val="center"/>
              <w:rPr>
                <w:rFonts w:hint="eastAsia"/>
                <w:color w:val="auto"/>
                <w:sz w:val="24"/>
                <w:szCs w:val="24"/>
                <w:highlight w:val="none"/>
              </w:rPr>
            </w:pPr>
            <w:r>
              <w:rPr>
                <w:rFonts w:hint="eastAsia"/>
                <w:color w:val="auto"/>
                <w:sz w:val="24"/>
                <w:szCs w:val="24"/>
                <w:highlight w:val="none"/>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97" w:hRule="atLeast"/>
          <w:jc w:val="center"/>
        </w:trPr>
        <w:tc>
          <w:tcPr>
            <w:tcW w:w="739" w:type="pct"/>
            <w:vMerge w:val="restart"/>
            <w:noWrap/>
            <w:vAlign w:val="center"/>
          </w:tcPr>
          <w:p>
            <w:pPr>
              <w:pStyle w:val="40"/>
              <w:jc w:val="center"/>
              <w:rPr>
                <w:color w:val="auto"/>
                <w:highlight w:val="none"/>
              </w:rPr>
            </w:pPr>
            <w:r>
              <w:rPr>
                <w:color w:val="auto"/>
                <w:highlight w:val="none"/>
              </w:rPr>
              <w:t>设计洪水（P=</w:t>
            </w:r>
            <w:r>
              <w:rPr>
                <w:rFonts w:hint="eastAsia"/>
                <w:color w:val="auto"/>
                <w:highlight w:val="none"/>
              </w:rPr>
              <w:t>2</w:t>
            </w:r>
            <w:r>
              <w:rPr>
                <w:color w:val="auto"/>
                <w:highlight w:val="none"/>
              </w:rPr>
              <w:t>%）</w:t>
            </w:r>
          </w:p>
        </w:tc>
        <w:tc>
          <w:tcPr>
            <w:tcW w:w="1072" w:type="pct"/>
            <w:noWrap w:val="0"/>
            <w:vAlign w:val="center"/>
          </w:tcPr>
          <w:p>
            <w:pPr>
              <w:pStyle w:val="40"/>
              <w:jc w:val="center"/>
              <w:rPr>
                <w:color w:val="auto"/>
                <w:highlight w:val="none"/>
              </w:rPr>
            </w:pPr>
            <w:r>
              <w:rPr>
                <w:color w:val="auto"/>
                <w:highlight w:val="none"/>
              </w:rPr>
              <w:t>设计洪水位</w:t>
            </w:r>
          </w:p>
        </w:tc>
        <w:tc>
          <w:tcPr>
            <w:tcW w:w="903" w:type="pct"/>
            <w:noWrap/>
            <w:vAlign w:val="center"/>
          </w:tcPr>
          <w:p>
            <w:pPr>
              <w:pStyle w:val="40"/>
              <w:jc w:val="center"/>
              <w:rPr>
                <w:color w:val="auto"/>
                <w:highlight w:val="none"/>
              </w:rPr>
            </w:pPr>
            <w:r>
              <w:rPr>
                <w:color w:val="auto"/>
                <w:highlight w:val="none"/>
              </w:rPr>
              <w:t>m</w:t>
            </w:r>
          </w:p>
        </w:tc>
        <w:tc>
          <w:tcPr>
            <w:tcW w:w="1432" w:type="pct"/>
            <w:noWrap/>
            <w:vAlign w:val="center"/>
          </w:tcPr>
          <w:p>
            <w:pPr>
              <w:pStyle w:val="40"/>
              <w:jc w:val="center"/>
              <w:rPr>
                <w:rFonts w:hint="default" w:eastAsia="宋体"/>
                <w:color w:val="auto"/>
                <w:sz w:val="24"/>
                <w:szCs w:val="24"/>
                <w:highlight w:val="none"/>
                <w:lang w:val="en-US" w:eastAsia="zh-CN"/>
              </w:rPr>
            </w:pPr>
            <w:r>
              <w:rPr>
                <w:rFonts w:hint="eastAsia"/>
                <w:color w:val="auto"/>
                <w:sz w:val="24"/>
                <w:szCs w:val="24"/>
                <w:highlight w:val="none"/>
              </w:rPr>
              <w:t>226.73</w:t>
            </w:r>
          </w:p>
        </w:tc>
        <w:tc>
          <w:tcPr>
            <w:tcW w:w="851" w:type="pct"/>
            <w:noWrap/>
            <w:vAlign w:val="center"/>
          </w:tcPr>
          <w:p>
            <w:pPr>
              <w:pStyle w:val="40"/>
              <w:ind w:firstLine="0" w:firstLineChars="0"/>
              <w:jc w:val="center"/>
              <w:rPr>
                <w:rFonts w:hint="default" w:eastAsia="宋体"/>
                <w:color w:val="auto"/>
                <w:sz w:val="24"/>
                <w:szCs w:val="24"/>
                <w:highlight w:val="none"/>
                <w:lang w:val="en-US" w:eastAsia="zh-CN"/>
              </w:rPr>
            </w:pPr>
            <w:r>
              <w:rPr>
                <w:rFonts w:hint="eastAsia"/>
                <w:color w:val="auto"/>
                <w:sz w:val="24"/>
                <w:szCs w:val="24"/>
                <w:highlight w:val="none"/>
              </w:rPr>
              <w:t>228.</w:t>
            </w:r>
            <w:r>
              <w:rPr>
                <w:rFonts w:hint="eastAsia"/>
                <w:color w:val="auto"/>
                <w:sz w:val="24"/>
                <w:szCs w:val="24"/>
                <w:highlight w:val="none"/>
                <w:lang w:val="en-US" w:eastAsia="zh-CN"/>
              </w:rPr>
              <w:t>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39" w:type="pct"/>
            <w:vMerge w:val="continue"/>
            <w:noWrap/>
            <w:vAlign w:val="center"/>
          </w:tcPr>
          <w:p>
            <w:pPr>
              <w:pStyle w:val="40"/>
              <w:jc w:val="center"/>
              <w:rPr>
                <w:color w:val="auto"/>
                <w:highlight w:val="none"/>
              </w:rPr>
            </w:pPr>
          </w:p>
        </w:tc>
        <w:tc>
          <w:tcPr>
            <w:tcW w:w="1072" w:type="pct"/>
            <w:noWrap w:val="0"/>
            <w:vAlign w:val="center"/>
          </w:tcPr>
          <w:p>
            <w:pPr>
              <w:pStyle w:val="40"/>
              <w:jc w:val="center"/>
              <w:rPr>
                <w:color w:val="auto"/>
                <w:highlight w:val="none"/>
              </w:rPr>
            </w:pPr>
            <w:r>
              <w:rPr>
                <w:color w:val="auto"/>
                <w:highlight w:val="none"/>
              </w:rPr>
              <w:t>相应库容</w:t>
            </w:r>
          </w:p>
        </w:tc>
        <w:tc>
          <w:tcPr>
            <w:tcW w:w="903" w:type="pct"/>
            <w:noWrap/>
            <w:vAlign w:val="center"/>
          </w:tcPr>
          <w:p>
            <w:pPr>
              <w:pStyle w:val="40"/>
              <w:jc w:val="center"/>
              <w:rPr>
                <w:color w:val="auto"/>
                <w:highlight w:val="none"/>
              </w:rPr>
            </w:pPr>
            <w:r>
              <w:rPr>
                <w:color w:val="auto"/>
                <w:highlight w:val="none"/>
              </w:rPr>
              <w:t>万m³</w:t>
            </w:r>
          </w:p>
        </w:tc>
        <w:tc>
          <w:tcPr>
            <w:tcW w:w="1432" w:type="pct"/>
            <w:noWrap/>
            <w:vAlign w:val="center"/>
          </w:tcPr>
          <w:p>
            <w:pPr>
              <w:pStyle w:val="40"/>
              <w:jc w:val="center"/>
              <w:rPr>
                <w:rFonts w:hint="default" w:eastAsia="宋体"/>
                <w:color w:val="auto"/>
                <w:sz w:val="24"/>
                <w:szCs w:val="24"/>
                <w:highlight w:val="none"/>
                <w:lang w:val="en-US" w:eastAsia="zh-CN"/>
              </w:rPr>
            </w:pPr>
            <w:r>
              <w:rPr>
                <w:rFonts w:hint="eastAsia"/>
                <w:color w:val="auto"/>
                <w:sz w:val="24"/>
                <w:szCs w:val="24"/>
                <w:highlight w:val="none"/>
                <w:lang w:val="en-US" w:eastAsia="zh-CN"/>
              </w:rPr>
              <w:t>314.06</w:t>
            </w:r>
          </w:p>
        </w:tc>
        <w:tc>
          <w:tcPr>
            <w:tcW w:w="851" w:type="pct"/>
            <w:noWrap/>
            <w:vAlign w:val="center"/>
          </w:tcPr>
          <w:p>
            <w:pPr>
              <w:pStyle w:val="40"/>
              <w:ind w:firstLine="0" w:firstLineChars="0"/>
              <w:jc w:val="center"/>
              <w:rPr>
                <w:rFonts w:hint="default" w:eastAsia="宋体"/>
                <w:color w:val="auto"/>
                <w:sz w:val="24"/>
                <w:szCs w:val="24"/>
                <w:highlight w:val="none"/>
                <w:lang w:val="en-US" w:eastAsia="zh-CN"/>
              </w:rPr>
            </w:pPr>
            <w:r>
              <w:rPr>
                <w:rFonts w:hint="eastAsia"/>
                <w:color w:val="auto"/>
                <w:sz w:val="24"/>
                <w:szCs w:val="24"/>
                <w:highlight w:val="none"/>
                <w:lang w:val="en-US" w:eastAsia="zh-CN"/>
              </w:rPr>
              <w:t>369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39" w:type="pct"/>
            <w:vMerge w:val="continue"/>
            <w:noWrap/>
            <w:vAlign w:val="center"/>
          </w:tcPr>
          <w:p>
            <w:pPr>
              <w:pStyle w:val="40"/>
              <w:jc w:val="center"/>
              <w:rPr>
                <w:color w:val="auto"/>
                <w:highlight w:val="none"/>
              </w:rPr>
            </w:pPr>
          </w:p>
        </w:tc>
        <w:tc>
          <w:tcPr>
            <w:tcW w:w="1072" w:type="pct"/>
            <w:noWrap w:val="0"/>
            <w:vAlign w:val="center"/>
          </w:tcPr>
          <w:p>
            <w:pPr>
              <w:pStyle w:val="40"/>
              <w:jc w:val="center"/>
              <w:rPr>
                <w:color w:val="auto"/>
                <w:highlight w:val="none"/>
              </w:rPr>
            </w:pPr>
            <w:r>
              <w:rPr>
                <w:color w:val="auto"/>
                <w:highlight w:val="none"/>
              </w:rPr>
              <w:t>调洪库容</w:t>
            </w:r>
          </w:p>
        </w:tc>
        <w:tc>
          <w:tcPr>
            <w:tcW w:w="903" w:type="pct"/>
            <w:noWrap/>
            <w:vAlign w:val="center"/>
          </w:tcPr>
          <w:p>
            <w:pPr>
              <w:pStyle w:val="40"/>
              <w:jc w:val="center"/>
              <w:rPr>
                <w:color w:val="auto"/>
                <w:highlight w:val="none"/>
              </w:rPr>
            </w:pPr>
            <w:r>
              <w:rPr>
                <w:color w:val="auto"/>
                <w:highlight w:val="none"/>
              </w:rPr>
              <w:t>万m³</w:t>
            </w:r>
          </w:p>
        </w:tc>
        <w:tc>
          <w:tcPr>
            <w:tcW w:w="1432" w:type="pct"/>
            <w:noWrap/>
            <w:vAlign w:val="center"/>
          </w:tcPr>
          <w:p>
            <w:pPr>
              <w:pStyle w:val="40"/>
              <w:jc w:val="center"/>
              <w:rPr>
                <w:rFonts w:hint="default" w:eastAsia="宋体"/>
                <w:color w:val="auto"/>
                <w:sz w:val="24"/>
                <w:szCs w:val="24"/>
                <w:highlight w:val="none"/>
                <w:lang w:val="en-US" w:eastAsia="zh-CN"/>
              </w:rPr>
            </w:pPr>
            <w:r>
              <w:rPr>
                <w:rFonts w:hint="eastAsia"/>
                <w:color w:val="auto"/>
                <w:sz w:val="24"/>
                <w:szCs w:val="24"/>
                <w:highlight w:val="none"/>
                <w:lang w:val="en-US" w:eastAsia="zh-CN"/>
              </w:rPr>
              <w:t>81.36</w:t>
            </w:r>
          </w:p>
        </w:tc>
        <w:tc>
          <w:tcPr>
            <w:tcW w:w="851" w:type="pct"/>
            <w:noWrap/>
            <w:vAlign w:val="center"/>
          </w:tcPr>
          <w:p>
            <w:pPr>
              <w:pStyle w:val="40"/>
              <w:ind w:firstLine="0" w:firstLineChars="0"/>
              <w:jc w:val="center"/>
              <w:rPr>
                <w:rFonts w:hint="default" w:eastAsia="宋体"/>
                <w:color w:val="auto"/>
                <w:sz w:val="24"/>
                <w:szCs w:val="24"/>
                <w:highlight w:val="none"/>
                <w:lang w:val="en-US" w:eastAsia="zh-CN"/>
              </w:rPr>
            </w:pPr>
            <w:r>
              <w:rPr>
                <w:rFonts w:hint="eastAsia"/>
                <w:color w:val="auto"/>
                <w:sz w:val="24"/>
                <w:szCs w:val="24"/>
                <w:highlight w:val="none"/>
                <w:lang w:val="en-US" w:eastAsia="zh-CN"/>
              </w:rPr>
              <w:t>83.5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42" w:hRule="atLeast"/>
          <w:jc w:val="center"/>
        </w:trPr>
        <w:tc>
          <w:tcPr>
            <w:tcW w:w="739" w:type="pct"/>
            <w:vMerge w:val="continue"/>
            <w:noWrap/>
            <w:vAlign w:val="center"/>
          </w:tcPr>
          <w:p>
            <w:pPr>
              <w:pStyle w:val="40"/>
              <w:jc w:val="center"/>
              <w:rPr>
                <w:color w:val="auto"/>
                <w:highlight w:val="none"/>
              </w:rPr>
            </w:pPr>
          </w:p>
        </w:tc>
        <w:tc>
          <w:tcPr>
            <w:tcW w:w="1072" w:type="pct"/>
            <w:noWrap w:val="0"/>
            <w:vAlign w:val="center"/>
          </w:tcPr>
          <w:p>
            <w:pPr>
              <w:pStyle w:val="40"/>
              <w:jc w:val="center"/>
              <w:rPr>
                <w:color w:val="auto"/>
                <w:highlight w:val="none"/>
              </w:rPr>
            </w:pPr>
            <w:r>
              <w:rPr>
                <w:color w:val="auto"/>
                <w:highlight w:val="none"/>
              </w:rPr>
              <w:t>最大下泄流量</w:t>
            </w:r>
          </w:p>
        </w:tc>
        <w:tc>
          <w:tcPr>
            <w:tcW w:w="903" w:type="pct"/>
            <w:noWrap/>
            <w:vAlign w:val="center"/>
          </w:tcPr>
          <w:p>
            <w:pPr>
              <w:pStyle w:val="40"/>
              <w:jc w:val="center"/>
              <w:rPr>
                <w:color w:val="auto"/>
                <w:highlight w:val="none"/>
              </w:rPr>
            </w:pPr>
            <w:r>
              <w:rPr>
                <w:color w:val="auto"/>
                <w:highlight w:val="none"/>
              </w:rPr>
              <w:t>m³/s</w:t>
            </w:r>
          </w:p>
        </w:tc>
        <w:tc>
          <w:tcPr>
            <w:tcW w:w="1432" w:type="pct"/>
            <w:noWrap/>
            <w:vAlign w:val="center"/>
          </w:tcPr>
          <w:p>
            <w:pPr>
              <w:pStyle w:val="40"/>
              <w:jc w:val="center"/>
              <w:rPr>
                <w:rFonts w:hint="default" w:eastAsia="宋体"/>
                <w:color w:val="auto"/>
                <w:sz w:val="24"/>
                <w:szCs w:val="24"/>
                <w:highlight w:val="none"/>
                <w:lang w:val="en-US" w:eastAsia="zh-CN"/>
              </w:rPr>
            </w:pPr>
            <w:r>
              <w:rPr>
                <w:rFonts w:hint="eastAsia"/>
                <w:color w:val="auto"/>
                <w:sz w:val="24"/>
                <w:szCs w:val="24"/>
                <w:highlight w:val="none"/>
                <w:lang w:val="en-US" w:eastAsia="zh-CN"/>
              </w:rPr>
              <w:t>154</w:t>
            </w:r>
          </w:p>
        </w:tc>
        <w:tc>
          <w:tcPr>
            <w:tcW w:w="851" w:type="pct"/>
            <w:noWrap/>
            <w:vAlign w:val="center"/>
          </w:tcPr>
          <w:p>
            <w:pPr>
              <w:pStyle w:val="40"/>
              <w:ind w:firstLine="0" w:firstLineChars="0"/>
              <w:jc w:val="center"/>
              <w:rPr>
                <w:rFonts w:hint="default" w:eastAsia="宋体"/>
                <w:color w:val="auto"/>
                <w:sz w:val="24"/>
                <w:szCs w:val="24"/>
                <w:highlight w:val="none"/>
                <w:lang w:val="en-US" w:eastAsia="zh-CN"/>
              </w:rPr>
            </w:pPr>
            <w:r>
              <w:rPr>
                <w:rFonts w:hint="eastAsia"/>
                <w:color w:val="auto"/>
                <w:sz w:val="24"/>
                <w:szCs w:val="24"/>
                <w:highlight w:val="none"/>
                <w:lang w:val="en-US" w:eastAsia="zh-CN"/>
              </w:rPr>
              <w:t>152.9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97" w:hRule="atLeast"/>
          <w:jc w:val="center"/>
        </w:trPr>
        <w:tc>
          <w:tcPr>
            <w:tcW w:w="739" w:type="pct"/>
            <w:vMerge w:val="restart"/>
            <w:noWrap/>
            <w:vAlign w:val="center"/>
          </w:tcPr>
          <w:p>
            <w:pPr>
              <w:pStyle w:val="40"/>
              <w:jc w:val="center"/>
              <w:rPr>
                <w:color w:val="auto"/>
                <w:highlight w:val="none"/>
              </w:rPr>
            </w:pPr>
            <w:r>
              <w:rPr>
                <w:color w:val="auto"/>
                <w:highlight w:val="none"/>
              </w:rPr>
              <w:t>校核洪水（P=0.</w:t>
            </w:r>
            <w:r>
              <w:rPr>
                <w:rFonts w:hint="eastAsia"/>
                <w:color w:val="auto"/>
                <w:highlight w:val="none"/>
              </w:rPr>
              <w:t>2</w:t>
            </w:r>
            <w:r>
              <w:rPr>
                <w:color w:val="auto"/>
                <w:highlight w:val="none"/>
              </w:rPr>
              <w:t>%）</w:t>
            </w:r>
          </w:p>
        </w:tc>
        <w:tc>
          <w:tcPr>
            <w:tcW w:w="1072" w:type="pct"/>
            <w:noWrap w:val="0"/>
            <w:vAlign w:val="center"/>
          </w:tcPr>
          <w:p>
            <w:pPr>
              <w:pStyle w:val="40"/>
              <w:jc w:val="center"/>
              <w:rPr>
                <w:color w:val="auto"/>
                <w:highlight w:val="none"/>
              </w:rPr>
            </w:pPr>
            <w:r>
              <w:rPr>
                <w:color w:val="auto"/>
                <w:highlight w:val="none"/>
              </w:rPr>
              <w:t>校核洪水位</w:t>
            </w:r>
          </w:p>
        </w:tc>
        <w:tc>
          <w:tcPr>
            <w:tcW w:w="903" w:type="pct"/>
            <w:noWrap/>
            <w:vAlign w:val="center"/>
          </w:tcPr>
          <w:p>
            <w:pPr>
              <w:pStyle w:val="40"/>
              <w:jc w:val="center"/>
              <w:rPr>
                <w:color w:val="auto"/>
                <w:highlight w:val="none"/>
              </w:rPr>
            </w:pPr>
            <w:r>
              <w:rPr>
                <w:color w:val="auto"/>
                <w:highlight w:val="none"/>
              </w:rPr>
              <w:t>m</w:t>
            </w:r>
          </w:p>
        </w:tc>
        <w:tc>
          <w:tcPr>
            <w:tcW w:w="1432" w:type="pct"/>
            <w:noWrap/>
            <w:vAlign w:val="center"/>
          </w:tcPr>
          <w:p>
            <w:pPr>
              <w:pStyle w:val="40"/>
              <w:jc w:val="center"/>
              <w:rPr>
                <w:rFonts w:hint="eastAsia" w:eastAsia="宋体"/>
                <w:color w:val="auto"/>
                <w:sz w:val="24"/>
                <w:szCs w:val="24"/>
                <w:highlight w:val="none"/>
                <w:lang w:val="en-US" w:eastAsia="zh-CN"/>
              </w:rPr>
            </w:pPr>
            <w:r>
              <w:rPr>
                <w:rFonts w:hint="eastAsia"/>
                <w:color w:val="auto"/>
                <w:sz w:val="24"/>
                <w:szCs w:val="24"/>
                <w:highlight w:val="none"/>
              </w:rPr>
              <w:t>227.53</w:t>
            </w:r>
          </w:p>
        </w:tc>
        <w:tc>
          <w:tcPr>
            <w:tcW w:w="851" w:type="pct"/>
            <w:noWrap/>
            <w:vAlign w:val="center"/>
          </w:tcPr>
          <w:p>
            <w:pPr>
              <w:pStyle w:val="40"/>
              <w:ind w:firstLine="0" w:firstLineChars="0"/>
              <w:jc w:val="center"/>
              <w:rPr>
                <w:rFonts w:hint="eastAsia" w:eastAsia="宋体"/>
                <w:color w:val="auto"/>
                <w:sz w:val="24"/>
                <w:szCs w:val="24"/>
                <w:highlight w:val="none"/>
                <w:lang w:eastAsia="zh-CN"/>
              </w:rPr>
            </w:pPr>
            <w:r>
              <w:rPr>
                <w:rFonts w:hint="eastAsia"/>
                <w:color w:val="auto"/>
                <w:sz w:val="24"/>
                <w:szCs w:val="24"/>
                <w:highlight w:val="none"/>
              </w:rPr>
              <w:t>229.3</w:t>
            </w:r>
            <w:r>
              <w:rPr>
                <w:rFonts w:hint="eastAsia"/>
                <w:color w:val="auto"/>
                <w:sz w:val="24"/>
                <w:szCs w:val="24"/>
                <w:highlight w:val="none"/>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39" w:type="pct"/>
            <w:vMerge w:val="continue"/>
            <w:noWrap/>
            <w:vAlign w:val="center"/>
          </w:tcPr>
          <w:p>
            <w:pPr>
              <w:pStyle w:val="40"/>
              <w:jc w:val="center"/>
              <w:rPr>
                <w:color w:val="auto"/>
                <w:highlight w:val="none"/>
              </w:rPr>
            </w:pPr>
          </w:p>
        </w:tc>
        <w:tc>
          <w:tcPr>
            <w:tcW w:w="1072" w:type="pct"/>
            <w:noWrap w:val="0"/>
            <w:vAlign w:val="center"/>
          </w:tcPr>
          <w:p>
            <w:pPr>
              <w:pStyle w:val="40"/>
              <w:jc w:val="center"/>
              <w:rPr>
                <w:color w:val="auto"/>
                <w:highlight w:val="none"/>
              </w:rPr>
            </w:pPr>
            <w:r>
              <w:rPr>
                <w:color w:val="auto"/>
                <w:highlight w:val="none"/>
              </w:rPr>
              <w:t>相应库容</w:t>
            </w:r>
          </w:p>
        </w:tc>
        <w:tc>
          <w:tcPr>
            <w:tcW w:w="903" w:type="pct"/>
            <w:noWrap/>
            <w:vAlign w:val="center"/>
          </w:tcPr>
          <w:p>
            <w:pPr>
              <w:pStyle w:val="40"/>
              <w:jc w:val="center"/>
              <w:rPr>
                <w:color w:val="auto"/>
                <w:highlight w:val="none"/>
              </w:rPr>
            </w:pPr>
            <w:r>
              <w:rPr>
                <w:color w:val="auto"/>
                <w:highlight w:val="none"/>
              </w:rPr>
              <w:t>万m³</w:t>
            </w:r>
          </w:p>
        </w:tc>
        <w:tc>
          <w:tcPr>
            <w:tcW w:w="1432" w:type="pct"/>
            <w:noWrap/>
            <w:vAlign w:val="center"/>
          </w:tcPr>
          <w:p>
            <w:pPr>
              <w:pStyle w:val="40"/>
              <w:jc w:val="center"/>
              <w:rPr>
                <w:rFonts w:hint="default" w:eastAsia="宋体"/>
                <w:color w:val="auto"/>
                <w:sz w:val="24"/>
                <w:szCs w:val="24"/>
                <w:highlight w:val="none"/>
                <w:lang w:val="en-US" w:eastAsia="zh-CN"/>
              </w:rPr>
            </w:pPr>
            <w:r>
              <w:rPr>
                <w:rFonts w:hint="eastAsia"/>
                <w:color w:val="auto"/>
                <w:sz w:val="24"/>
                <w:szCs w:val="24"/>
                <w:highlight w:val="none"/>
                <w:lang w:val="en-US" w:eastAsia="zh-CN"/>
              </w:rPr>
              <w:t>337.66</w:t>
            </w:r>
          </w:p>
        </w:tc>
        <w:tc>
          <w:tcPr>
            <w:tcW w:w="851" w:type="pct"/>
            <w:noWrap/>
            <w:vAlign w:val="center"/>
          </w:tcPr>
          <w:p>
            <w:pPr>
              <w:pStyle w:val="40"/>
              <w:ind w:firstLine="0" w:firstLineChars="0"/>
              <w:jc w:val="center"/>
              <w:rPr>
                <w:rFonts w:hint="eastAsia"/>
                <w:color w:val="auto"/>
                <w:sz w:val="24"/>
                <w:szCs w:val="24"/>
                <w:highlight w:val="none"/>
                <w:lang w:val="en-US" w:eastAsia="zh-CN"/>
              </w:rPr>
            </w:pPr>
            <w:r>
              <w:rPr>
                <w:rFonts w:hint="eastAsia"/>
                <w:color w:val="auto"/>
                <w:sz w:val="24"/>
                <w:szCs w:val="24"/>
                <w:highlight w:val="none"/>
              </w:rPr>
              <w:t>396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39" w:type="pct"/>
            <w:vMerge w:val="continue"/>
            <w:noWrap/>
            <w:vAlign w:val="center"/>
          </w:tcPr>
          <w:p>
            <w:pPr>
              <w:pStyle w:val="40"/>
              <w:jc w:val="center"/>
              <w:rPr>
                <w:color w:val="auto"/>
                <w:highlight w:val="none"/>
              </w:rPr>
            </w:pPr>
          </w:p>
        </w:tc>
        <w:tc>
          <w:tcPr>
            <w:tcW w:w="1072" w:type="pct"/>
            <w:noWrap w:val="0"/>
            <w:vAlign w:val="center"/>
          </w:tcPr>
          <w:p>
            <w:pPr>
              <w:pStyle w:val="40"/>
              <w:jc w:val="center"/>
              <w:rPr>
                <w:color w:val="auto"/>
                <w:highlight w:val="none"/>
              </w:rPr>
            </w:pPr>
            <w:r>
              <w:rPr>
                <w:color w:val="auto"/>
                <w:highlight w:val="none"/>
              </w:rPr>
              <w:t>调洪库容</w:t>
            </w:r>
          </w:p>
        </w:tc>
        <w:tc>
          <w:tcPr>
            <w:tcW w:w="903" w:type="pct"/>
            <w:noWrap/>
            <w:vAlign w:val="center"/>
          </w:tcPr>
          <w:p>
            <w:pPr>
              <w:pStyle w:val="40"/>
              <w:jc w:val="center"/>
              <w:rPr>
                <w:color w:val="auto"/>
                <w:highlight w:val="none"/>
              </w:rPr>
            </w:pPr>
            <w:r>
              <w:rPr>
                <w:color w:val="auto"/>
                <w:highlight w:val="none"/>
              </w:rPr>
              <w:t>万m³</w:t>
            </w:r>
          </w:p>
        </w:tc>
        <w:tc>
          <w:tcPr>
            <w:tcW w:w="1432" w:type="pct"/>
            <w:noWrap/>
            <w:vAlign w:val="center"/>
          </w:tcPr>
          <w:p>
            <w:pPr>
              <w:pStyle w:val="40"/>
              <w:jc w:val="center"/>
              <w:rPr>
                <w:rFonts w:hint="default" w:eastAsia="宋体"/>
                <w:color w:val="auto"/>
                <w:sz w:val="24"/>
                <w:szCs w:val="24"/>
                <w:highlight w:val="none"/>
                <w:lang w:val="en-US" w:eastAsia="zh-CN"/>
              </w:rPr>
            </w:pPr>
            <w:r>
              <w:rPr>
                <w:rFonts w:hint="eastAsia" w:eastAsia="宋体"/>
                <w:color w:val="auto"/>
                <w:sz w:val="24"/>
                <w:szCs w:val="24"/>
                <w:highlight w:val="none"/>
                <w:lang w:val="en-US" w:eastAsia="zh-CN"/>
              </w:rPr>
              <w:t>104.96</w:t>
            </w:r>
          </w:p>
        </w:tc>
        <w:tc>
          <w:tcPr>
            <w:tcW w:w="851" w:type="pct"/>
            <w:noWrap/>
            <w:vAlign w:val="center"/>
          </w:tcPr>
          <w:p>
            <w:pPr>
              <w:pStyle w:val="40"/>
              <w:ind w:firstLine="0" w:firstLineChars="0"/>
              <w:jc w:val="center"/>
              <w:rPr>
                <w:rFonts w:hint="eastAsia" w:eastAsia="宋体"/>
                <w:color w:val="auto"/>
                <w:sz w:val="24"/>
                <w:szCs w:val="24"/>
                <w:highlight w:val="none"/>
                <w:lang w:val="en-US" w:eastAsia="zh-CN"/>
              </w:rPr>
            </w:pPr>
            <w:r>
              <w:rPr>
                <w:rFonts w:hint="eastAsia"/>
                <w:color w:val="auto"/>
                <w:sz w:val="24"/>
                <w:szCs w:val="24"/>
                <w:highlight w:val="none"/>
              </w:rPr>
              <w:t>110.</w:t>
            </w:r>
            <w:r>
              <w:rPr>
                <w:rFonts w:hint="eastAsia"/>
                <w:color w:val="auto"/>
                <w:sz w:val="24"/>
                <w:szCs w:val="24"/>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97" w:hRule="atLeast"/>
          <w:jc w:val="center"/>
        </w:trPr>
        <w:tc>
          <w:tcPr>
            <w:tcW w:w="739" w:type="pct"/>
            <w:vMerge w:val="continue"/>
            <w:noWrap/>
            <w:vAlign w:val="center"/>
          </w:tcPr>
          <w:p>
            <w:pPr>
              <w:pStyle w:val="40"/>
              <w:jc w:val="center"/>
              <w:rPr>
                <w:color w:val="auto"/>
                <w:highlight w:val="none"/>
              </w:rPr>
            </w:pPr>
          </w:p>
        </w:tc>
        <w:tc>
          <w:tcPr>
            <w:tcW w:w="1072" w:type="pct"/>
            <w:noWrap w:val="0"/>
            <w:vAlign w:val="center"/>
          </w:tcPr>
          <w:p>
            <w:pPr>
              <w:pStyle w:val="40"/>
              <w:jc w:val="center"/>
              <w:rPr>
                <w:color w:val="auto"/>
                <w:highlight w:val="none"/>
              </w:rPr>
            </w:pPr>
            <w:r>
              <w:rPr>
                <w:color w:val="auto"/>
                <w:highlight w:val="none"/>
              </w:rPr>
              <w:t>最大下泄流量</w:t>
            </w:r>
          </w:p>
        </w:tc>
        <w:tc>
          <w:tcPr>
            <w:tcW w:w="903" w:type="pct"/>
            <w:noWrap/>
            <w:vAlign w:val="center"/>
          </w:tcPr>
          <w:p>
            <w:pPr>
              <w:pStyle w:val="40"/>
              <w:jc w:val="center"/>
              <w:rPr>
                <w:color w:val="auto"/>
                <w:highlight w:val="none"/>
              </w:rPr>
            </w:pPr>
            <w:r>
              <w:rPr>
                <w:color w:val="auto"/>
                <w:highlight w:val="none"/>
              </w:rPr>
              <w:t>m³/s</w:t>
            </w:r>
          </w:p>
        </w:tc>
        <w:tc>
          <w:tcPr>
            <w:tcW w:w="1432" w:type="pct"/>
            <w:noWrap/>
            <w:vAlign w:val="center"/>
          </w:tcPr>
          <w:p>
            <w:pPr>
              <w:pStyle w:val="40"/>
              <w:jc w:val="center"/>
              <w:rPr>
                <w:rFonts w:hint="default" w:eastAsia="宋体"/>
                <w:color w:val="auto"/>
                <w:highlight w:val="none"/>
                <w:lang w:val="en-US" w:eastAsia="zh-CN"/>
              </w:rPr>
            </w:pPr>
            <w:r>
              <w:rPr>
                <w:rFonts w:hint="eastAsia"/>
                <w:color w:val="auto"/>
                <w:highlight w:val="none"/>
                <w:lang w:val="en-US" w:eastAsia="zh-CN"/>
              </w:rPr>
              <w:t>221</w:t>
            </w:r>
          </w:p>
        </w:tc>
        <w:tc>
          <w:tcPr>
            <w:tcW w:w="851" w:type="pct"/>
            <w:noWrap/>
            <w:vAlign w:val="center"/>
          </w:tcPr>
          <w:p>
            <w:pPr>
              <w:pStyle w:val="40"/>
              <w:ind w:firstLine="0" w:firstLineChars="0"/>
              <w:jc w:val="center"/>
              <w:rPr>
                <w:rFonts w:hint="default" w:eastAsia="宋体"/>
                <w:color w:val="auto"/>
                <w:highlight w:val="none"/>
                <w:lang w:val="en-US" w:eastAsia="zh-CN"/>
              </w:rPr>
            </w:pPr>
            <w:r>
              <w:rPr>
                <w:rFonts w:hint="eastAsia"/>
                <w:color w:val="auto"/>
                <w:highlight w:val="none"/>
                <w:lang w:val="en-US" w:eastAsia="zh-CN"/>
              </w:rPr>
              <w:t>216.3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97" w:hRule="atLeast"/>
          <w:jc w:val="center"/>
        </w:trPr>
        <w:tc>
          <w:tcPr>
            <w:tcW w:w="739" w:type="pct"/>
            <w:vMerge w:val="restart"/>
            <w:noWrap/>
            <w:vAlign w:val="center"/>
          </w:tcPr>
          <w:p>
            <w:pPr>
              <w:pStyle w:val="40"/>
              <w:jc w:val="center"/>
              <w:rPr>
                <w:color w:val="auto"/>
                <w:highlight w:val="none"/>
              </w:rPr>
            </w:pPr>
            <w:r>
              <w:rPr>
                <w:rFonts w:hint="eastAsia"/>
                <w:color w:val="auto"/>
                <w:highlight w:val="none"/>
              </w:rPr>
              <w:t>消能工况</w:t>
            </w:r>
            <w:r>
              <w:rPr>
                <w:color w:val="auto"/>
                <w:highlight w:val="none"/>
              </w:rPr>
              <w:t>（P=</w:t>
            </w:r>
            <w:r>
              <w:rPr>
                <w:rFonts w:hint="eastAsia"/>
                <w:color w:val="auto"/>
                <w:highlight w:val="none"/>
              </w:rPr>
              <w:t>5</w:t>
            </w:r>
            <w:r>
              <w:rPr>
                <w:color w:val="auto"/>
                <w:highlight w:val="none"/>
              </w:rPr>
              <w:t>%）</w:t>
            </w:r>
          </w:p>
        </w:tc>
        <w:tc>
          <w:tcPr>
            <w:tcW w:w="1072" w:type="pct"/>
            <w:noWrap w:val="0"/>
            <w:vAlign w:val="center"/>
          </w:tcPr>
          <w:p>
            <w:pPr>
              <w:pStyle w:val="40"/>
              <w:jc w:val="center"/>
              <w:rPr>
                <w:color w:val="auto"/>
                <w:highlight w:val="none"/>
              </w:rPr>
            </w:pPr>
            <w:r>
              <w:rPr>
                <w:rFonts w:hint="eastAsia"/>
                <w:color w:val="auto"/>
                <w:highlight w:val="none"/>
              </w:rPr>
              <w:t>相应</w:t>
            </w:r>
            <w:r>
              <w:rPr>
                <w:color w:val="auto"/>
                <w:highlight w:val="none"/>
              </w:rPr>
              <w:t>水位</w:t>
            </w:r>
          </w:p>
        </w:tc>
        <w:tc>
          <w:tcPr>
            <w:tcW w:w="903" w:type="pct"/>
            <w:noWrap/>
            <w:vAlign w:val="center"/>
          </w:tcPr>
          <w:p>
            <w:pPr>
              <w:pStyle w:val="40"/>
              <w:jc w:val="center"/>
              <w:rPr>
                <w:color w:val="auto"/>
                <w:highlight w:val="none"/>
              </w:rPr>
            </w:pPr>
            <w:r>
              <w:rPr>
                <w:color w:val="auto"/>
                <w:highlight w:val="none"/>
              </w:rPr>
              <w:t>m</w:t>
            </w:r>
          </w:p>
        </w:tc>
        <w:tc>
          <w:tcPr>
            <w:tcW w:w="1432" w:type="pct"/>
            <w:noWrap/>
            <w:vAlign w:val="center"/>
          </w:tcPr>
          <w:p>
            <w:pPr>
              <w:pStyle w:val="40"/>
              <w:jc w:val="center"/>
              <w:rPr>
                <w:rFonts w:hint="default" w:eastAsia="宋体"/>
                <w:color w:val="auto"/>
                <w:highlight w:val="none"/>
                <w:lang w:val="en-US" w:eastAsia="zh-CN"/>
              </w:rPr>
            </w:pPr>
            <w:r>
              <w:rPr>
                <w:rFonts w:hint="eastAsia"/>
                <w:color w:val="auto"/>
                <w:highlight w:val="none"/>
              </w:rPr>
              <w:t>226.35</w:t>
            </w:r>
          </w:p>
        </w:tc>
        <w:tc>
          <w:tcPr>
            <w:tcW w:w="851" w:type="pct"/>
            <w:noWrap/>
            <w:vAlign w:val="center"/>
          </w:tcPr>
          <w:p>
            <w:pPr>
              <w:pStyle w:val="40"/>
              <w:ind w:firstLine="0" w:firstLineChars="0"/>
              <w:jc w:val="center"/>
              <w:rPr>
                <w:rFonts w:hint="eastAsia" w:eastAsia="宋体"/>
                <w:color w:val="auto"/>
                <w:highlight w:val="none"/>
                <w:lang w:eastAsia="zh-CN"/>
              </w:rPr>
            </w:pPr>
            <w:r>
              <w:rPr>
                <w:rFonts w:hint="eastAsia"/>
                <w:color w:val="auto"/>
                <w:highlight w:val="none"/>
              </w:rPr>
              <w:t>228.2</w:t>
            </w:r>
            <w:r>
              <w:rPr>
                <w:rFonts w:hint="eastAsia"/>
                <w:color w:val="auto"/>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39" w:type="pct"/>
            <w:vMerge w:val="continue"/>
            <w:noWrap/>
            <w:vAlign w:val="center"/>
          </w:tcPr>
          <w:p>
            <w:pPr>
              <w:pStyle w:val="40"/>
              <w:jc w:val="center"/>
              <w:rPr>
                <w:color w:val="auto"/>
                <w:highlight w:val="none"/>
              </w:rPr>
            </w:pPr>
          </w:p>
        </w:tc>
        <w:tc>
          <w:tcPr>
            <w:tcW w:w="1072" w:type="pct"/>
            <w:noWrap w:val="0"/>
            <w:vAlign w:val="center"/>
          </w:tcPr>
          <w:p>
            <w:pPr>
              <w:pStyle w:val="40"/>
              <w:jc w:val="center"/>
              <w:rPr>
                <w:color w:val="auto"/>
                <w:highlight w:val="none"/>
              </w:rPr>
            </w:pPr>
            <w:r>
              <w:rPr>
                <w:color w:val="auto"/>
                <w:highlight w:val="none"/>
              </w:rPr>
              <w:t>相应库容</w:t>
            </w:r>
          </w:p>
        </w:tc>
        <w:tc>
          <w:tcPr>
            <w:tcW w:w="903" w:type="pct"/>
            <w:noWrap/>
            <w:vAlign w:val="center"/>
          </w:tcPr>
          <w:p>
            <w:pPr>
              <w:pStyle w:val="40"/>
              <w:jc w:val="center"/>
              <w:rPr>
                <w:color w:val="auto"/>
                <w:highlight w:val="none"/>
              </w:rPr>
            </w:pPr>
            <w:r>
              <w:rPr>
                <w:color w:val="auto"/>
                <w:highlight w:val="none"/>
              </w:rPr>
              <w:t>万m³</w:t>
            </w:r>
          </w:p>
        </w:tc>
        <w:tc>
          <w:tcPr>
            <w:tcW w:w="1432" w:type="pct"/>
            <w:noWrap/>
            <w:vAlign w:val="center"/>
          </w:tcPr>
          <w:p>
            <w:pPr>
              <w:pStyle w:val="40"/>
              <w:jc w:val="center"/>
              <w:rPr>
                <w:rFonts w:hint="default" w:eastAsia="宋体"/>
                <w:color w:val="auto"/>
                <w:highlight w:val="none"/>
                <w:lang w:val="en-US" w:eastAsia="zh-CN"/>
              </w:rPr>
            </w:pPr>
            <w:r>
              <w:rPr>
                <w:rFonts w:hint="eastAsia"/>
                <w:color w:val="auto"/>
                <w:highlight w:val="none"/>
              </w:rPr>
              <w:t>303.66</w:t>
            </w:r>
          </w:p>
        </w:tc>
        <w:tc>
          <w:tcPr>
            <w:tcW w:w="851" w:type="pct"/>
            <w:noWrap/>
            <w:vAlign w:val="center"/>
          </w:tcPr>
          <w:p>
            <w:pPr>
              <w:pStyle w:val="40"/>
              <w:ind w:firstLine="0" w:firstLineChars="0"/>
              <w:jc w:val="center"/>
              <w:rPr>
                <w:rFonts w:hint="eastAsia"/>
                <w:color w:val="auto"/>
                <w:highlight w:val="none"/>
              </w:rPr>
            </w:pPr>
            <w:r>
              <w:rPr>
                <w:rFonts w:hint="eastAsia"/>
                <w:color w:val="auto"/>
                <w:highlight w:val="none"/>
              </w:rPr>
              <w:t>359.72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39" w:type="pct"/>
            <w:vMerge w:val="continue"/>
            <w:noWrap/>
            <w:vAlign w:val="center"/>
          </w:tcPr>
          <w:p>
            <w:pPr>
              <w:pStyle w:val="40"/>
              <w:jc w:val="center"/>
              <w:rPr>
                <w:color w:val="auto"/>
                <w:highlight w:val="none"/>
              </w:rPr>
            </w:pPr>
          </w:p>
        </w:tc>
        <w:tc>
          <w:tcPr>
            <w:tcW w:w="1072" w:type="pct"/>
            <w:noWrap w:val="0"/>
            <w:vAlign w:val="center"/>
          </w:tcPr>
          <w:p>
            <w:pPr>
              <w:pStyle w:val="40"/>
              <w:jc w:val="center"/>
              <w:rPr>
                <w:color w:val="auto"/>
                <w:highlight w:val="none"/>
              </w:rPr>
            </w:pPr>
            <w:r>
              <w:rPr>
                <w:color w:val="auto"/>
                <w:highlight w:val="none"/>
              </w:rPr>
              <w:t>调洪库容</w:t>
            </w:r>
          </w:p>
        </w:tc>
        <w:tc>
          <w:tcPr>
            <w:tcW w:w="903" w:type="pct"/>
            <w:noWrap/>
            <w:vAlign w:val="center"/>
          </w:tcPr>
          <w:p>
            <w:pPr>
              <w:pStyle w:val="40"/>
              <w:jc w:val="center"/>
              <w:rPr>
                <w:color w:val="auto"/>
                <w:highlight w:val="none"/>
              </w:rPr>
            </w:pPr>
            <w:r>
              <w:rPr>
                <w:color w:val="auto"/>
                <w:highlight w:val="none"/>
              </w:rPr>
              <w:t>万m³</w:t>
            </w:r>
          </w:p>
        </w:tc>
        <w:tc>
          <w:tcPr>
            <w:tcW w:w="1432" w:type="pct"/>
            <w:noWrap/>
            <w:vAlign w:val="center"/>
          </w:tcPr>
          <w:p>
            <w:pPr>
              <w:pStyle w:val="40"/>
              <w:jc w:val="center"/>
              <w:rPr>
                <w:rFonts w:hint="default" w:eastAsia="宋体"/>
                <w:color w:val="auto"/>
                <w:highlight w:val="none"/>
                <w:lang w:val="en-US" w:eastAsia="zh-CN"/>
              </w:rPr>
            </w:pPr>
            <w:r>
              <w:rPr>
                <w:rFonts w:hint="eastAsia"/>
                <w:color w:val="auto"/>
                <w:highlight w:val="none"/>
              </w:rPr>
              <w:t>7</w:t>
            </w:r>
            <w:r>
              <w:rPr>
                <w:rFonts w:hint="eastAsia"/>
                <w:color w:val="auto"/>
                <w:highlight w:val="none"/>
                <w:lang w:val="en-US" w:eastAsia="zh-CN"/>
              </w:rPr>
              <w:t>0.96</w:t>
            </w:r>
          </w:p>
        </w:tc>
        <w:tc>
          <w:tcPr>
            <w:tcW w:w="851" w:type="pct"/>
            <w:noWrap/>
            <w:vAlign w:val="center"/>
          </w:tcPr>
          <w:p>
            <w:pPr>
              <w:pStyle w:val="40"/>
              <w:ind w:firstLine="0" w:firstLineChars="0"/>
              <w:jc w:val="center"/>
              <w:rPr>
                <w:rFonts w:hint="eastAsia"/>
                <w:color w:val="auto"/>
                <w:highlight w:val="none"/>
              </w:rPr>
            </w:pPr>
            <w:r>
              <w:rPr>
                <w:rFonts w:hint="eastAsia"/>
                <w:color w:val="auto"/>
                <w:highlight w:val="none"/>
              </w:rPr>
              <w:t>74.22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97" w:hRule="atLeast"/>
          <w:jc w:val="center"/>
        </w:trPr>
        <w:tc>
          <w:tcPr>
            <w:tcW w:w="739" w:type="pct"/>
            <w:vMerge w:val="continue"/>
            <w:noWrap/>
            <w:vAlign w:val="center"/>
          </w:tcPr>
          <w:p>
            <w:pPr>
              <w:pStyle w:val="40"/>
              <w:jc w:val="center"/>
              <w:rPr>
                <w:color w:val="auto"/>
                <w:highlight w:val="none"/>
              </w:rPr>
            </w:pPr>
          </w:p>
        </w:tc>
        <w:tc>
          <w:tcPr>
            <w:tcW w:w="1072" w:type="pct"/>
            <w:noWrap w:val="0"/>
            <w:vAlign w:val="center"/>
          </w:tcPr>
          <w:p>
            <w:pPr>
              <w:pStyle w:val="40"/>
              <w:jc w:val="center"/>
              <w:rPr>
                <w:color w:val="auto"/>
                <w:highlight w:val="none"/>
              </w:rPr>
            </w:pPr>
            <w:r>
              <w:rPr>
                <w:color w:val="auto"/>
                <w:highlight w:val="none"/>
              </w:rPr>
              <w:t>最大下泄流量</w:t>
            </w:r>
          </w:p>
        </w:tc>
        <w:tc>
          <w:tcPr>
            <w:tcW w:w="903" w:type="pct"/>
            <w:noWrap/>
            <w:vAlign w:val="center"/>
          </w:tcPr>
          <w:p>
            <w:pPr>
              <w:pStyle w:val="40"/>
              <w:jc w:val="center"/>
              <w:rPr>
                <w:color w:val="auto"/>
                <w:highlight w:val="none"/>
              </w:rPr>
            </w:pPr>
            <w:r>
              <w:rPr>
                <w:color w:val="auto"/>
                <w:highlight w:val="none"/>
              </w:rPr>
              <w:t>m³/s</w:t>
            </w:r>
          </w:p>
        </w:tc>
        <w:tc>
          <w:tcPr>
            <w:tcW w:w="1432" w:type="pct"/>
            <w:noWrap/>
            <w:vAlign w:val="center"/>
          </w:tcPr>
          <w:p>
            <w:pPr>
              <w:pStyle w:val="40"/>
              <w:jc w:val="center"/>
              <w:rPr>
                <w:rFonts w:hint="eastAsia" w:eastAsia="宋体"/>
                <w:color w:val="auto"/>
                <w:highlight w:val="none"/>
                <w:lang w:val="en-US" w:eastAsia="zh-CN"/>
              </w:rPr>
            </w:pPr>
            <w:r>
              <w:rPr>
                <w:rFonts w:hint="eastAsia"/>
                <w:color w:val="auto"/>
                <w:highlight w:val="none"/>
              </w:rPr>
              <w:t>125</w:t>
            </w:r>
          </w:p>
        </w:tc>
        <w:tc>
          <w:tcPr>
            <w:tcW w:w="851" w:type="pct"/>
            <w:noWrap/>
            <w:vAlign w:val="center"/>
          </w:tcPr>
          <w:p>
            <w:pPr>
              <w:pStyle w:val="40"/>
              <w:ind w:firstLine="0" w:firstLineChars="0"/>
              <w:jc w:val="center"/>
              <w:rPr>
                <w:rFonts w:hint="default" w:eastAsia="宋体"/>
                <w:color w:val="auto"/>
                <w:highlight w:val="none"/>
                <w:lang w:val="en-US" w:eastAsia="zh-CN"/>
              </w:rPr>
            </w:pPr>
            <w:r>
              <w:rPr>
                <w:rFonts w:hint="eastAsia"/>
                <w:color w:val="auto"/>
                <w:highlight w:val="none"/>
              </w:rPr>
              <w:t>12</w:t>
            </w:r>
            <w:r>
              <w:rPr>
                <w:rFonts w:hint="eastAsia"/>
                <w:color w:val="auto"/>
                <w:highlight w:val="none"/>
                <w:lang w:val="en-US" w:eastAsia="zh-CN"/>
              </w:rPr>
              <w:t>5.1</w:t>
            </w:r>
          </w:p>
        </w:tc>
      </w:tr>
    </w:tbl>
    <w:p>
      <w:pPr>
        <w:keepNext w:val="0"/>
        <w:keepLines w:val="0"/>
        <w:pageBreakBefore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本次除险加固所采用基础数据与原有水库资料复核后，计算出的设计洪峰流量成果有所区别但相差不大，相差幅度在3</w:t>
      </w:r>
      <w:r>
        <w:rPr>
          <w:rFonts w:hint="default" w:ascii="Times New Roman" w:hAnsi="Times New Roman" w:eastAsia="宋体" w:cs="Times New Roman"/>
          <w:color w:val="auto"/>
          <w:sz w:val="24"/>
          <w:szCs w:val="24"/>
          <w:highlight w:val="none"/>
          <w:lang w:val="en-US" w:eastAsia="zh-CN"/>
        </w:rPr>
        <w:t xml:space="preserve">% </w:t>
      </w:r>
      <w:r>
        <w:rPr>
          <w:rFonts w:hint="eastAsia" w:ascii="Times New Roman" w:hAnsi="Times New Roman" w:eastAsia="宋体" w:cs="Times New Roman"/>
          <w:color w:val="auto"/>
          <w:sz w:val="24"/>
          <w:szCs w:val="24"/>
          <w:highlight w:val="none"/>
          <w:lang w:val="en-US" w:eastAsia="zh-CN"/>
        </w:rPr>
        <w:t>以内。在设计频率以及校核频率对应的设计水位以及库容上，原设计成果与本次复核成果存在差异，是由于本次除险加固设计过程中，</w:t>
      </w:r>
      <w:r>
        <w:rPr>
          <w:rFonts w:ascii="Times New Roman" w:hAnsi="Times New Roman" w:eastAsia="宋体" w:cs="Times New Roman"/>
          <w:color w:val="auto"/>
          <w:sz w:val="24"/>
          <w:szCs w:val="24"/>
          <w:highlight w:val="none"/>
        </w:rPr>
        <w:t>经设计、测量、勘探人员核查，水库为无闸开敞式溢洪道型式，现状溢洪道堰顶高程</w:t>
      </w:r>
      <w:r>
        <w:rPr>
          <w:rFonts w:hint="default" w:ascii="Times New Roman" w:hAnsi="Times New Roman" w:eastAsia="宋体" w:cs="Times New Roman"/>
          <w:color w:val="auto"/>
          <w:sz w:val="24"/>
          <w:szCs w:val="24"/>
          <w:highlight w:val="none"/>
          <w:lang w:val="en-US" w:eastAsia="zh-CN"/>
        </w:rPr>
        <w:t>为</w:t>
      </w:r>
      <w:r>
        <w:rPr>
          <w:rFonts w:ascii="Times New Roman" w:hAnsi="Times New Roman" w:eastAsia="宋体" w:cs="Times New Roman"/>
          <w:color w:val="auto"/>
          <w:sz w:val="24"/>
          <w:szCs w:val="24"/>
          <w:highlight w:val="none"/>
        </w:rPr>
        <w:t>223.8m，水库正常蓄水仅能达到223.8m，较2011年除险加固设计报告确定的正常蓄水位225.7m低1.9m</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lang w:val="en-US" w:eastAsia="zh-CN"/>
        </w:rPr>
        <w:t>导致经调洪演算后的正常蓄水位和校核洪水位均低于原设计成果。</w:t>
      </w:r>
      <w:r>
        <w:rPr>
          <w:rFonts w:ascii="Times New Roman" w:hAnsi="Times New Roman" w:eastAsia="宋体" w:cs="Times New Roman"/>
          <w:color w:val="auto"/>
          <w:sz w:val="24"/>
          <w:szCs w:val="24"/>
          <w:highlight w:val="none"/>
        </w:rPr>
        <w:t>根据水库现状实际情况,本次除险加固初步设计，仅针对出现的病险情况进行除险加固设计</w:t>
      </w:r>
      <w:r>
        <w:rPr>
          <w:rFonts w:hint="default" w:ascii="Times New Roman" w:hAnsi="Times New Roman" w:eastAsia="宋体" w:cs="Times New Roman"/>
          <w:color w:val="auto"/>
          <w:sz w:val="24"/>
          <w:szCs w:val="24"/>
          <w:highlight w:val="none"/>
          <w:lang w:eastAsia="zh-CN"/>
        </w:rPr>
        <w:t>，</w:t>
      </w:r>
      <w:r>
        <w:rPr>
          <w:rFonts w:hint="eastAsia" w:ascii="Times New Roman" w:hAnsi="Times New Roman" w:eastAsia="宋体" w:cs="Times New Roman"/>
          <w:color w:val="auto"/>
          <w:sz w:val="24"/>
          <w:szCs w:val="24"/>
          <w:highlight w:val="none"/>
          <w:lang w:val="en-US" w:eastAsia="zh-CN"/>
        </w:rPr>
        <w:t>从安全角度出发，本次除险加固沿用原设计及校核水位成果进行坝顶高程复核。</w:t>
      </w:r>
    </w:p>
    <w:p>
      <w:pPr>
        <w:pStyle w:val="5"/>
        <w:bidi w:val="0"/>
        <w:rPr>
          <w:rFonts w:hint="default"/>
          <w:color w:val="auto"/>
          <w:highlight w:val="none"/>
          <w:lang w:val="en-US" w:eastAsia="zh-CN"/>
        </w:rPr>
      </w:pPr>
      <w:bookmarkStart w:id="34" w:name="_Toc16781"/>
      <w:r>
        <w:rPr>
          <w:rFonts w:hint="eastAsia"/>
          <w:color w:val="auto"/>
          <w:highlight w:val="none"/>
          <w:lang w:val="en-US" w:eastAsia="zh-CN"/>
        </w:rPr>
        <w:t>1.4.4主要结论</w:t>
      </w:r>
      <w:bookmarkEnd w:id="34"/>
    </w:p>
    <w:p>
      <w:pPr>
        <w:bidi w:val="0"/>
        <w:rPr>
          <w:rFonts w:hint="eastAsia"/>
          <w:color w:val="auto"/>
          <w:highlight w:val="none"/>
          <w:lang w:val="en-US" w:eastAsia="zh-CN"/>
        </w:rPr>
      </w:pPr>
      <w:r>
        <w:rPr>
          <w:rFonts w:hint="eastAsia"/>
          <w:color w:val="auto"/>
          <w:highlight w:val="none"/>
          <w:lang w:eastAsia="zh-CN"/>
        </w:rPr>
        <w:t>经复核，洋坑水库死水位为</w:t>
      </w:r>
      <w:r>
        <w:rPr>
          <w:rFonts w:hint="eastAsia"/>
          <w:color w:val="auto"/>
          <w:highlight w:val="none"/>
          <w:lang w:val="en-US" w:eastAsia="zh-CN"/>
        </w:rPr>
        <w:t>206.75m，正常蓄水位223.8m，设计洪水位为</w:t>
      </w:r>
      <w:r>
        <w:rPr>
          <w:rFonts w:hint="default"/>
          <w:color w:val="auto"/>
          <w:highlight w:val="none"/>
          <w:lang w:val="en-US" w:eastAsia="zh-CN"/>
        </w:rPr>
        <w:t>228.6</w:t>
      </w:r>
      <w:r>
        <w:rPr>
          <w:rFonts w:hint="eastAsia"/>
          <w:color w:val="auto"/>
          <w:highlight w:val="none"/>
          <w:lang w:val="en-US" w:eastAsia="zh-CN"/>
        </w:rPr>
        <w:t>2m，校核洪水位为</w:t>
      </w:r>
      <w:r>
        <w:rPr>
          <w:rFonts w:hint="default"/>
          <w:color w:val="auto"/>
          <w:highlight w:val="none"/>
          <w:lang w:val="en-US" w:eastAsia="zh-CN"/>
        </w:rPr>
        <w:t>229.3</w:t>
      </w:r>
      <w:r>
        <w:rPr>
          <w:rFonts w:hint="eastAsia"/>
          <w:color w:val="auto"/>
          <w:highlight w:val="none"/>
          <w:lang w:val="en-US" w:eastAsia="zh-CN"/>
        </w:rPr>
        <w:t>8m，总库容为396万m</w:t>
      </w:r>
      <w:r>
        <w:rPr>
          <w:rFonts w:hint="eastAsia"/>
          <w:color w:val="auto"/>
          <w:highlight w:val="none"/>
          <w:vertAlign w:val="superscript"/>
          <w:lang w:val="en-US" w:eastAsia="zh-CN"/>
        </w:rPr>
        <w:t>3</w:t>
      </w:r>
      <w:r>
        <w:rPr>
          <w:rFonts w:hint="eastAsia"/>
          <w:color w:val="auto"/>
          <w:highlight w:val="none"/>
          <w:lang w:val="en-US" w:eastAsia="zh-CN"/>
        </w:rPr>
        <w:t>；水库维持现有工程任务，为</w:t>
      </w:r>
      <w:r>
        <w:rPr>
          <w:rFonts w:hint="default"/>
          <w:color w:val="auto"/>
          <w:highlight w:val="none"/>
          <w:lang w:val="en-US" w:eastAsia="zh-CN"/>
        </w:rPr>
        <w:t>一宗以灌溉为主，结合防洪、发电的</w:t>
      </w:r>
      <w:r>
        <w:rPr>
          <w:rFonts w:hint="eastAsia"/>
          <w:color w:val="auto"/>
          <w:highlight w:val="none"/>
          <w:lang w:val="en-US" w:eastAsia="zh-CN"/>
        </w:rPr>
        <w:t>小（1）型水库。</w:t>
      </w:r>
    </w:p>
    <w:p>
      <w:pPr>
        <w:bidi w:val="0"/>
        <w:rPr>
          <w:rFonts w:hint="eastAsia"/>
          <w:color w:val="auto"/>
          <w:highlight w:val="none"/>
          <w:lang w:eastAsia="zh-CN"/>
        </w:rPr>
      </w:pPr>
      <w:r>
        <w:rPr>
          <w:rFonts w:hint="eastAsia"/>
          <w:color w:val="auto"/>
          <w:highlight w:val="none"/>
          <w:lang w:eastAsia="zh-CN"/>
        </w:rPr>
        <w:t>按现行设计标准进行防洪复核计算，大坝现状坝顶高程为230.6-231.2m，现状坝顶高程大于最大计算坝顶高程230.31m，大坝的坝顶高程满足国家现行规范的要求。</w:t>
      </w:r>
    </w:p>
    <w:p>
      <w:pPr>
        <w:bidi w:val="0"/>
        <w:rPr>
          <w:rFonts w:hint="eastAsia"/>
          <w:color w:val="auto"/>
          <w:highlight w:val="none"/>
          <w:lang w:eastAsia="zh-CN"/>
        </w:rPr>
      </w:pPr>
      <w:r>
        <w:rPr>
          <w:rFonts w:hint="eastAsia"/>
          <w:color w:val="auto"/>
          <w:highlight w:val="none"/>
          <w:lang w:eastAsia="zh-CN"/>
        </w:rPr>
        <w:t>水库溢洪道出口为居民区，下泄设计洪水、校核洪水及溃坝影响范围涉及到溢洪道下游居民区，溢洪道泄洪时将切断进口两侧交通，溢洪道下泄校核洪水时挑距为42.2m，冲刷坑深度为8.65m，而溢洪道挑坎下游40～60 m范围内存在房屋、公路、电线杆等，挑流消能严重危及下游相关建筑物、构筑物的安全泄洪，可能造成下游居民生命财产的损失，因此水库的泄洪安全性不满足国家现行规范要求。</w:t>
      </w:r>
    </w:p>
    <w:p>
      <w:pPr>
        <w:bidi w:val="0"/>
        <w:rPr>
          <w:rFonts w:hint="eastAsia"/>
          <w:color w:val="auto"/>
          <w:highlight w:val="none"/>
          <w:lang w:val="en-US" w:eastAsia="zh-CN"/>
        </w:rPr>
      </w:pPr>
      <w:r>
        <w:rPr>
          <w:rFonts w:hint="eastAsia"/>
          <w:color w:val="auto"/>
          <w:highlight w:val="none"/>
          <w:lang w:val="en-US" w:eastAsia="zh-CN"/>
        </w:rPr>
        <w:t>洋坑水库溢洪道为开敞式，汛期防洪调度采用敞泄调度；灌溉、发电调度根据灌溉及发电用水需求开展，一般情况下汛期控制水库水位，避免汛期弃水，汛期末尽量抬高水位，以便增加发电水头、抬高发电量以及增加水库蓄满率、提高灌溉保证率。水库除险加固建设内容和主要措施，主要根据水库病险问题开展，具体见分专业章节。</w:t>
      </w:r>
    </w:p>
    <w:p>
      <w:pPr>
        <w:pStyle w:val="2"/>
        <w:rPr>
          <w:rFonts w:hint="default"/>
          <w:color w:val="auto"/>
          <w:highlight w:val="none"/>
          <w:lang w:val="en-US" w:eastAsia="zh-CN"/>
        </w:rPr>
      </w:pPr>
    </w:p>
    <w:p>
      <w:pPr>
        <w:pStyle w:val="4"/>
        <w:bidi w:val="0"/>
        <w:rPr>
          <w:rFonts w:hint="eastAsia"/>
          <w:color w:val="auto"/>
          <w:highlight w:val="none"/>
          <w:lang w:val="en-US" w:eastAsia="zh-CN"/>
        </w:rPr>
      </w:pPr>
      <w:bookmarkStart w:id="35" w:name="_Toc1327513921"/>
      <w:r>
        <w:rPr>
          <w:rFonts w:hint="eastAsia"/>
          <w:color w:val="auto"/>
          <w:highlight w:val="none"/>
          <w:lang w:val="en-US" w:eastAsia="zh-CN"/>
        </w:rPr>
        <w:t>1.5工程布置及建筑物</w:t>
      </w:r>
      <w:bookmarkEnd w:id="35"/>
    </w:p>
    <w:p>
      <w:pPr>
        <w:pStyle w:val="5"/>
        <w:bidi w:val="0"/>
        <w:rPr>
          <w:rFonts w:hint="default"/>
          <w:color w:val="auto"/>
          <w:highlight w:val="none"/>
          <w:lang w:val="en-US" w:eastAsia="zh-CN"/>
        </w:rPr>
      </w:pPr>
      <w:bookmarkStart w:id="36" w:name="_Toc22496"/>
      <w:r>
        <w:rPr>
          <w:rFonts w:hint="eastAsia"/>
          <w:color w:val="auto"/>
          <w:highlight w:val="none"/>
          <w:lang w:val="en-US" w:eastAsia="zh-CN"/>
        </w:rPr>
        <w:t>1.5.1工程总体布置</w:t>
      </w:r>
      <w:bookmarkEnd w:id="36"/>
    </w:p>
    <w:p>
      <w:pPr>
        <w:bidi w:val="0"/>
        <w:rPr>
          <w:rFonts w:hint="eastAsia"/>
          <w:color w:val="auto"/>
          <w:highlight w:val="none"/>
          <w:lang w:val="en-US" w:eastAsia="zh-CN"/>
        </w:rPr>
      </w:pPr>
      <w:r>
        <w:rPr>
          <w:rFonts w:hint="eastAsia"/>
          <w:color w:val="auto"/>
          <w:highlight w:val="none"/>
          <w:lang w:val="en-US" w:eastAsia="zh-CN"/>
        </w:rPr>
        <w:t>洋坑水库工程枢纽建筑物包括土坝、溢洪道、输水涵管等。各建筑物详见平面布置图。</w:t>
      </w:r>
    </w:p>
    <w:p>
      <w:pPr>
        <w:bidi w:val="0"/>
        <w:rPr>
          <w:rFonts w:hint="eastAsia"/>
          <w:color w:val="auto"/>
          <w:highlight w:val="none"/>
          <w:lang w:val="en-US" w:eastAsia="zh-CN"/>
        </w:rPr>
      </w:pPr>
      <w:bookmarkStart w:id="37" w:name="_Toc763"/>
      <w:r>
        <w:rPr>
          <w:rFonts w:hint="eastAsia"/>
          <w:color w:val="auto"/>
          <w:highlight w:val="none"/>
          <w:lang w:val="en-US" w:eastAsia="zh-CN"/>
        </w:rPr>
        <w:t>（1）大坝</w:t>
      </w:r>
    </w:p>
    <w:p>
      <w:pPr>
        <w:bidi w:val="0"/>
        <w:rPr>
          <w:rFonts w:hint="eastAsia"/>
          <w:color w:val="auto"/>
          <w:highlight w:val="none"/>
          <w:lang w:val="en-US" w:eastAsia="zh-CN"/>
        </w:rPr>
      </w:pPr>
      <w:r>
        <w:rPr>
          <w:rFonts w:hint="eastAsia"/>
          <w:color w:val="auto"/>
          <w:highlight w:val="none"/>
          <w:lang w:val="en-US" w:eastAsia="zh-CN"/>
        </w:rPr>
        <w:t>土坝为均质土坝，坝顶长度189.22m，坝顶高程230.60~231.20m，防浪墙顶高程232.08m，坝顶宽5.0m，最大坝高33.5m。防浪墙主体结构完好，仅采用装饰砂浆抹面处理；上游保留现状护坡，增设混凝土表面增强剂厚50mm，坡比1：2.7；下游重新铺设草皮护坡，于▽222.86m、▽212.63m高程处重建马道，各级坡比均为1：2.5；重建坝身排水设施；拆除重建70%排水棱体；新建量水堰等。</w:t>
      </w:r>
    </w:p>
    <w:p>
      <w:pPr>
        <w:bidi w:val="0"/>
        <w:rPr>
          <w:rFonts w:hint="eastAsia"/>
          <w:color w:val="auto"/>
          <w:highlight w:val="none"/>
          <w:lang w:val="en-US" w:eastAsia="zh-CN"/>
        </w:rPr>
      </w:pPr>
      <w:r>
        <w:rPr>
          <w:rFonts w:hint="eastAsia"/>
          <w:color w:val="auto"/>
          <w:highlight w:val="none"/>
          <w:lang w:val="en-US" w:eastAsia="zh-CN"/>
        </w:rPr>
        <w:t>（2）溢洪道</w:t>
      </w:r>
    </w:p>
    <w:p>
      <w:pPr>
        <w:bidi w:val="0"/>
        <w:rPr>
          <w:rFonts w:hint="eastAsia"/>
          <w:color w:val="auto"/>
          <w:highlight w:val="none"/>
          <w:lang w:val="en-US" w:eastAsia="zh-CN"/>
        </w:rPr>
      </w:pPr>
      <w:r>
        <w:rPr>
          <w:rFonts w:hint="eastAsia"/>
          <w:color w:val="auto"/>
          <w:highlight w:val="none"/>
          <w:lang w:val="en-US" w:eastAsia="zh-CN"/>
        </w:rPr>
        <w:t>溢洪道位于土坝右坝端，为开敞式无闸控制宽顶堰型。堰顶高程223.80m，总净宽18m。新建进水渠段砼底板及两侧挡墙，增设交通桥；重建控制段左岸挡墙，重设底板砼护面平均300mm厚；重建泄槽段左岸挡墙，右岸现状挡墙面层增设砼贴面，重设底板砼护面厚150mm；于下游泄槽段上方新建渡槽用于灌溉引水；拆除挑流鼻坎改建为消力池及海漫。</w:t>
      </w:r>
    </w:p>
    <w:p>
      <w:pPr>
        <w:bidi w:val="0"/>
        <w:rPr>
          <w:rFonts w:hint="eastAsia"/>
          <w:color w:val="auto"/>
          <w:highlight w:val="none"/>
          <w:lang w:val="en-US" w:eastAsia="zh-CN"/>
        </w:rPr>
      </w:pPr>
      <w:r>
        <w:rPr>
          <w:rFonts w:hint="eastAsia"/>
          <w:color w:val="auto"/>
          <w:highlight w:val="none"/>
          <w:lang w:val="en-US" w:eastAsia="zh-CN"/>
        </w:rPr>
        <w:t>（3）输水涵管</w:t>
      </w:r>
    </w:p>
    <w:p>
      <w:pPr>
        <w:bidi w:val="0"/>
        <w:rPr>
          <w:rFonts w:hint="eastAsia"/>
          <w:color w:val="auto"/>
          <w:highlight w:val="none"/>
          <w:lang w:val="en-US" w:eastAsia="zh-CN"/>
        </w:rPr>
      </w:pPr>
      <w:r>
        <w:rPr>
          <w:rFonts w:hint="eastAsia"/>
          <w:color w:val="auto"/>
          <w:highlight w:val="none"/>
          <w:lang w:val="en-US" w:eastAsia="zh-CN"/>
        </w:rPr>
        <w:t>输水涵管位于坝体左侧坝端，原为钢筋砼结构圆涵，内径0.7m，2017年10月实施涵管内套钢管，管径0.62m，管壁厚10mm，涵头进口底高程206.75m，涵管全长160m。涵管出口底高程205.45m，涵头设螺杆式斜拉铸铁闸门控制，配手电两用15T螺杆式启闭机，启闭机机室设于坝顶，面积3.4×4.2m。涵管通气孔采用直径114mm无缝钢管，管壁厚7mm。2018 年6月由丰顺县水务局组织了完工验收。输水涵管现状完好，本次不对输水涵管实施加固措施。现状输水涵管涵尾设有闸门及闸阀，均锈蚀严重，老化失效，无法正常使用。本次拟更换涵尾闸门及闸阀，保证其正常运行。</w:t>
      </w:r>
    </w:p>
    <w:p>
      <w:pPr>
        <w:bidi w:val="0"/>
        <w:rPr>
          <w:rFonts w:hint="eastAsia"/>
          <w:color w:val="auto"/>
          <w:highlight w:val="none"/>
          <w:lang w:val="en-US" w:eastAsia="zh-CN"/>
        </w:rPr>
      </w:pPr>
      <w:r>
        <w:rPr>
          <w:rFonts w:hint="eastAsia"/>
          <w:color w:val="auto"/>
          <w:highlight w:val="none"/>
          <w:lang w:val="en-US" w:eastAsia="zh-CN"/>
        </w:rPr>
        <w:t>（4）上坝公路，进村公路</w:t>
      </w:r>
    </w:p>
    <w:p>
      <w:pPr>
        <w:bidi w:val="0"/>
        <w:rPr>
          <w:rFonts w:hint="eastAsia"/>
          <w:color w:val="auto"/>
          <w:highlight w:val="none"/>
          <w:lang w:val="en-US" w:eastAsia="zh-CN"/>
        </w:rPr>
      </w:pPr>
      <w:r>
        <w:rPr>
          <w:rFonts w:hint="eastAsia"/>
          <w:color w:val="auto"/>
          <w:highlight w:val="none"/>
          <w:lang w:val="en-US" w:eastAsia="zh-CN"/>
        </w:rPr>
        <w:t>现状上坝公路为混凝土路面，宽度3m左右，满足防汛抢险车辆通行。现状进村公路位于大坝右岸，由溢洪道进口处连接至坝顶，约200m长道路位于校核洪水位以下，泄洪时切断两侧交通，存在重大安全隐患；本次加固拟建进村公路，宽3.5m，长约240m，道路内侧设排水边沟。</w:t>
      </w:r>
    </w:p>
    <w:p>
      <w:pPr>
        <w:bidi w:val="0"/>
        <w:rPr>
          <w:rFonts w:hint="eastAsia"/>
          <w:color w:val="auto"/>
          <w:highlight w:val="none"/>
          <w:lang w:val="en-US" w:eastAsia="zh-CN"/>
        </w:rPr>
      </w:pPr>
      <w:r>
        <w:rPr>
          <w:rFonts w:hint="eastAsia"/>
          <w:color w:val="auto"/>
          <w:highlight w:val="none"/>
          <w:lang w:val="en-US" w:eastAsia="zh-CN"/>
        </w:rPr>
        <w:t>（5）管理房</w:t>
      </w:r>
    </w:p>
    <w:p>
      <w:pPr>
        <w:bidi w:val="0"/>
        <w:rPr>
          <w:rFonts w:hint="eastAsia" w:ascii="Times New Roman" w:hAnsi="Times New Roman" w:eastAsia="宋体" w:cs="Times New Roman"/>
          <w:color w:val="auto"/>
          <w:kern w:val="0"/>
          <w:szCs w:val="24"/>
          <w:highlight w:val="none"/>
          <w:lang w:val="en-US" w:eastAsia="zh-CN" w:bidi="ar"/>
        </w:rPr>
      </w:pPr>
      <w:r>
        <w:rPr>
          <w:rFonts w:hint="eastAsia"/>
          <w:color w:val="auto"/>
          <w:highlight w:val="none"/>
          <w:lang w:val="en-US" w:eastAsia="zh-CN"/>
        </w:rPr>
        <w:t>现状管理用房占地120m2。本次仅对其进行修缮，修缮主要措施为内墙粉刷。</w:t>
      </w:r>
    </w:p>
    <w:p>
      <w:pPr>
        <w:pStyle w:val="5"/>
        <w:bidi w:val="0"/>
        <w:rPr>
          <w:rFonts w:hint="eastAsia"/>
          <w:color w:val="auto"/>
          <w:highlight w:val="none"/>
          <w:lang w:val="en-US" w:eastAsia="zh-CN"/>
        </w:rPr>
      </w:pPr>
      <w:r>
        <w:rPr>
          <w:rFonts w:hint="eastAsia"/>
          <w:color w:val="auto"/>
          <w:highlight w:val="none"/>
          <w:lang w:val="en-US" w:eastAsia="zh-CN"/>
        </w:rPr>
        <w:t>1.5.2防洪能力达标方案</w:t>
      </w:r>
      <w:bookmarkEnd w:id="37"/>
    </w:p>
    <w:p>
      <w:pPr>
        <w:bidi w:val="0"/>
        <w:rPr>
          <w:rFonts w:hint="eastAsia"/>
          <w:color w:val="auto"/>
          <w:highlight w:val="none"/>
          <w:lang w:eastAsia="zh-CN"/>
        </w:rPr>
      </w:pPr>
      <w:r>
        <w:rPr>
          <w:rFonts w:hint="eastAsia"/>
          <w:color w:val="auto"/>
          <w:highlight w:val="none"/>
          <w:lang w:eastAsia="zh-CN"/>
        </w:rPr>
        <w:t>按照《小型水利水电工程碾压式土石坝设计规范》(SL189-2013)附录A对波浪爬高进行计算，并依据上述计算原理复核坝顶高程。坝顶高程计算结果见表</w:t>
      </w:r>
      <w:r>
        <w:rPr>
          <w:rFonts w:hint="eastAsia"/>
          <w:color w:val="auto"/>
          <w:highlight w:val="none"/>
          <w:lang w:val="en-US" w:eastAsia="zh-CN"/>
        </w:rPr>
        <w:t>1.5-1</w:t>
      </w:r>
      <w:r>
        <w:rPr>
          <w:rFonts w:hint="eastAsia"/>
          <w:color w:val="auto"/>
          <w:highlight w:val="none"/>
          <w:lang w:eastAsia="zh-CN"/>
        </w:rPr>
        <w:t>。</w:t>
      </w:r>
    </w:p>
    <w:p>
      <w:pPr>
        <w:tabs>
          <w:tab w:val="left" w:pos="570"/>
        </w:tabs>
        <w:spacing w:line="500" w:lineRule="atLeast"/>
        <w:jc w:val="center"/>
        <w:rPr>
          <w:rFonts w:hint="eastAsia" w:eastAsia="宋体"/>
          <w:b w:val="0"/>
          <w:bCs/>
          <w:color w:val="auto"/>
          <w:sz w:val="24"/>
          <w:highlight w:val="none"/>
          <w:lang w:eastAsia="zh-CN"/>
        </w:rPr>
      </w:pPr>
      <w:r>
        <w:rPr>
          <w:rFonts w:hint="eastAsia" w:eastAsia="宋体"/>
          <w:b w:val="0"/>
          <w:bCs/>
          <w:color w:val="auto"/>
          <w:sz w:val="24"/>
          <w:highlight w:val="none"/>
          <w:lang w:eastAsia="zh-CN"/>
        </w:rPr>
        <w:t>表</w:t>
      </w:r>
      <w:r>
        <w:rPr>
          <w:rFonts w:hint="eastAsia" w:eastAsia="宋体"/>
          <w:b w:val="0"/>
          <w:bCs/>
          <w:color w:val="auto"/>
          <w:sz w:val="24"/>
          <w:highlight w:val="none"/>
          <w:lang w:val="en-US" w:eastAsia="zh-CN"/>
        </w:rPr>
        <w:t>1.5-1</w:t>
      </w:r>
      <w:r>
        <w:rPr>
          <w:rFonts w:hint="eastAsia" w:eastAsia="宋体"/>
          <w:b w:val="0"/>
          <w:bCs/>
          <w:color w:val="auto"/>
          <w:sz w:val="24"/>
          <w:highlight w:val="none"/>
          <w:lang w:eastAsia="zh-CN"/>
        </w:rPr>
        <w:t xml:space="preserve">  大坝坝顶高程复核成果表  单位：m</w:t>
      </w:r>
    </w:p>
    <w:tbl>
      <w:tblPr>
        <w:tblStyle w:val="2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2"/>
        <w:gridCol w:w="871"/>
        <w:gridCol w:w="1052"/>
        <w:gridCol w:w="1052"/>
        <w:gridCol w:w="1052"/>
        <w:gridCol w:w="1211"/>
        <w:gridCol w:w="12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jc w:val="center"/>
        </w:trPr>
        <w:tc>
          <w:tcPr>
            <w:tcW w:w="1215" w:type="pct"/>
            <w:noWrap w:val="0"/>
            <w:vAlign w:val="center"/>
          </w:tcPr>
          <w:p>
            <w:pPr>
              <w:pStyle w:val="40"/>
              <w:jc w:val="center"/>
              <w:rPr>
                <w:color w:val="auto"/>
                <w:highlight w:val="none"/>
              </w:rPr>
            </w:pPr>
            <w:r>
              <w:rPr>
                <w:rFonts w:hint="eastAsia"/>
                <w:color w:val="auto"/>
                <w:highlight w:val="none"/>
              </w:rPr>
              <w:t>工况</w:t>
            </w:r>
          </w:p>
        </w:tc>
        <w:tc>
          <w:tcPr>
            <w:tcW w:w="511" w:type="pct"/>
            <w:noWrap w:val="0"/>
            <w:vAlign w:val="center"/>
          </w:tcPr>
          <w:p>
            <w:pPr>
              <w:pStyle w:val="40"/>
              <w:jc w:val="center"/>
              <w:rPr>
                <w:color w:val="auto"/>
                <w:highlight w:val="none"/>
              </w:rPr>
            </w:pPr>
            <w:r>
              <w:rPr>
                <w:rFonts w:hint="eastAsia"/>
                <w:color w:val="auto"/>
                <w:highlight w:val="none"/>
              </w:rPr>
              <w:t>静水位(H)</w:t>
            </w:r>
          </w:p>
        </w:tc>
        <w:tc>
          <w:tcPr>
            <w:tcW w:w="617" w:type="pct"/>
            <w:noWrap w:val="0"/>
            <w:vAlign w:val="center"/>
          </w:tcPr>
          <w:p>
            <w:pPr>
              <w:pStyle w:val="40"/>
              <w:jc w:val="center"/>
              <w:rPr>
                <w:color w:val="auto"/>
                <w:highlight w:val="none"/>
              </w:rPr>
            </w:pPr>
            <w:r>
              <w:rPr>
                <w:rFonts w:hint="eastAsia"/>
                <w:color w:val="auto"/>
                <w:highlight w:val="none"/>
              </w:rPr>
              <w:t>安全超高(A)</w:t>
            </w:r>
          </w:p>
        </w:tc>
        <w:tc>
          <w:tcPr>
            <w:tcW w:w="617" w:type="pct"/>
            <w:noWrap w:val="0"/>
            <w:vAlign w:val="center"/>
          </w:tcPr>
          <w:p>
            <w:pPr>
              <w:pStyle w:val="40"/>
              <w:jc w:val="center"/>
              <w:rPr>
                <w:color w:val="auto"/>
                <w:highlight w:val="none"/>
              </w:rPr>
            </w:pPr>
            <w:r>
              <w:rPr>
                <w:rFonts w:hint="eastAsia"/>
                <w:color w:val="auto"/>
                <w:highlight w:val="none"/>
              </w:rPr>
              <w:t>波浪爬高</w:t>
            </w:r>
          </w:p>
        </w:tc>
        <w:tc>
          <w:tcPr>
            <w:tcW w:w="617" w:type="pct"/>
            <w:noWrap w:val="0"/>
            <w:vAlign w:val="center"/>
          </w:tcPr>
          <w:p>
            <w:pPr>
              <w:pStyle w:val="40"/>
              <w:jc w:val="center"/>
              <w:rPr>
                <w:color w:val="auto"/>
                <w:highlight w:val="none"/>
              </w:rPr>
            </w:pPr>
            <w:r>
              <w:rPr>
                <w:rFonts w:hint="eastAsia"/>
                <w:color w:val="auto"/>
                <w:highlight w:val="none"/>
              </w:rPr>
              <w:t>计算坝顶高程</w:t>
            </w:r>
          </w:p>
        </w:tc>
        <w:tc>
          <w:tcPr>
            <w:tcW w:w="710" w:type="pct"/>
            <w:noWrap w:val="0"/>
            <w:vAlign w:val="center"/>
          </w:tcPr>
          <w:p>
            <w:pPr>
              <w:pStyle w:val="40"/>
              <w:jc w:val="center"/>
              <w:rPr>
                <w:color w:val="auto"/>
                <w:highlight w:val="none"/>
              </w:rPr>
            </w:pPr>
            <w:r>
              <w:rPr>
                <w:rFonts w:hint="eastAsia"/>
                <w:color w:val="auto"/>
                <w:highlight w:val="none"/>
              </w:rPr>
              <w:t>最大坝顶高程</w:t>
            </w:r>
          </w:p>
        </w:tc>
        <w:tc>
          <w:tcPr>
            <w:tcW w:w="710" w:type="pct"/>
            <w:noWrap w:val="0"/>
            <w:vAlign w:val="center"/>
          </w:tcPr>
          <w:p>
            <w:pPr>
              <w:pStyle w:val="40"/>
              <w:jc w:val="center"/>
              <w:rPr>
                <w:color w:val="auto"/>
                <w:highlight w:val="none"/>
              </w:rPr>
            </w:pPr>
            <w:r>
              <w:rPr>
                <w:rFonts w:hint="eastAsia"/>
                <w:color w:val="auto"/>
                <w:highlight w:val="none"/>
              </w:rPr>
              <w:t>现状坝顶高程（防浪墙顶高）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5" w:type="pct"/>
            <w:noWrap w:val="0"/>
            <w:vAlign w:val="center"/>
          </w:tcPr>
          <w:p>
            <w:pPr>
              <w:pStyle w:val="40"/>
              <w:jc w:val="center"/>
              <w:rPr>
                <w:color w:val="auto"/>
                <w:highlight w:val="none"/>
              </w:rPr>
            </w:pPr>
            <w:r>
              <w:rPr>
                <w:rFonts w:hint="eastAsia"/>
                <w:color w:val="auto"/>
                <w:highlight w:val="none"/>
              </w:rPr>
              <w:t>设计洪水位</w:t>
            </w:r>
          </w:p>
          <w:p>
            <w:pPr>
              <w:pStyle w:val="40"/>
              <w:jc w:val="center"/>
              <w:rPr>
                <w:color w:val="auto"/>
                <w:highlight w:val="none"/>
              </w:rPr>
            </w:pPr>
            <w:r>
              <w:rPr>
                <w:rFonts w:hint="eastAsia"/>
                <w:color w:val="auto"/>
                <w:highlight w:val="none"/>
              </w:rPr>
              <w:t>（正常运用条件）</w:t>
            </w:r>
          </w:p>
        </w:tc>
        <w:tc>
          <w:tcPr>
            <w:tcW w:w="511" w:type="pct"/>
            <w:noWrap w:val="0"/>
            <w:vAlign w:val="center"/>
          </w:tcPr>
          <w:p>
            <w:pPr>
              <w:pStyle w:val="40"/>
              <w:jc w:val="center"/>
              <w:rPr>
                <w:color w:val="auto"/>
                <w:highlight w:val="none"/>
              </w:rPr>
            </w:pPr>
            <w:r>
              <w:rPr>
                <w:rFonts w:hint="eastAsia"/>
                <w:color w:val="auto"/>
                <w:highlight w:val="none"/>
              </w:rPr>
              <w:t>228</w:t>
            </w:r>
            <w:r>
              <w:rPr>
                <w:rFonts w:hint="eastAsia"/>
                <w:color w:val="auto"/>
                <w:highlight w:val="none"/>
                <w:lang w:eastAsia="zh-CN"/>
              </w:rPr>
              <w:t>.</w:t>
            </w:r>
            <w:r>
              <w:rPr>
                <w:rFonts w:hint="eastAsia"/>
                <w:color w:val="auto"/>
                <w:highlight w:val="none"/>
              </w:rPr>
              <w:t>66</w:t>
            </w:r>
          </w:p>
        </w:tc>
        <w:tc>
          <w:tcPr>
            <w:tcW w:w="617" w:type="pct"/>
            <w:noWrap w:val="0"/>
            <w:vAlign w:val="center"/>
          </w:tcPr>
          <w:p>
            <w:pPr>
              <w:pStyle w:val="40"/>
              <w:jc w:val="center"/>
              <w:rPr>
                <w:color w:val="auto"/>
                <w:highlight w:val="none"/>
              </w:rPr>
            </w:pPr>
            <w:r>
              <w:rPr>
                <w:rFonts w:hint="eastAsia"/>
                <w:color w:val="auto"/>
                <w:highlight w:val="none"/>
              </w:rPr>
              <w:t>0</w:t>
            </w:r>
            <w:r>
              <w:rPr>
                <w:rFonts w:hint="eastAsia"/>
                <w:color w:val="auto"/>
                <w:highlight w:val="none"/>
                <w:lang w:eastAsia="zh-CN"/>
              </w:rPr>
              <w:t>.</w:t>
            </w:r>
            <w:r>
              <w:rPr>
                <w:rFonts w:hint="eastAsia"/>
                <w:color w:val="auto"/>
                <w:highlight w:val="none"/>
              </w:rPr>
              <w:t>5</w:t>
            </w:r>
          </w:p>
        </w:tc>
        <w:tc>
          <w:tcPr>
            <w:tcW w:w="617" w:type="pct"/>
            <w:noWrap w:val="0"/>
            <w:vAlign w:val="center"/>
          </w:tcPr>
          <w:p>
            <w:pPr>
              <w:pStyle w:val="40"/>
              <w:jc w:val="center"/>
              <w:rPr>
                <w:color w:val="auto"/>
                <w:highlight w:val="none"/>
              </w:rPr>
            </w:pPr>
            <w:r>
              <w:rPr>
                <w:rFonts w:hint="eastAsia"/>
                <w:color w:val="auto"/>
                <w:highlight w:val="none"/>
              </w:rPr>
              <w:t>0</w:t>
            </w:r>
            <w:r>
              <w:rPr>
                <w:rFonts w:hint="eastAsia"/>
                <w:color w:val="auto"/>
                <w:highlight w:val="none"/>
                <w:lang w:eastAsia="zh-CN"/>
              </w:rPr>
              <w:t>.</w:t>
            </w:r>
            <w:r>
              <w:rPr>
                <w:rFonts w:hint="eastAsia"/>
                <w:color w:val="auto"/>
                <w:highlight w:val="none"/>
              </w:rPr>
              <w:t>88</w:t>
            </w:r>
          </w:p>
        </w:tc>
        <w:tc>
          <w:tcPr>
            <w:tcW w:w="617" w:type="pct"/>
            <w:noWrap w:val="0"/>
            <w:vAlign w:val="center"/>
          </w:tcPr>
          <w:p>
            <w:pPr>
              <w:pStyle w:val="40"/>
              <w:jc w:val="center"/>
              <w:rPr>
                <w:color w:val="auto"/>
                <w:highlight w:val="none"/>
              </w:rPr>
            </w:pPr>
            <w:r>
              <w:rPr>
                <w:rFonts w:hint="eastAsia"/>
                <w:color w:val="auto"/>
                <w:highlight w:val="none"/>
              </w:rPr>
              <w:t>230</w:t>
            </w:r>
            <w:r>
              <w:rPr>
                <w:rFonts w:hint="eastAsia"/>
                <w:color w:val="auto"/>
                <w:highlight w:val="none"/>
                <w:lang w:eastAsia="zh-CN"/>
              </w:rPr>
              <w:t>.</w:t>
            </w:r>
            <w:r>
              <w:rPr>
                <w:rFonts w:hint="eastAsia"/>
                <w:color w:val="auto"/>
                <w:highlight w:val="none"/>
              </w:rPr>
              <w:t>04</w:t>
            </w:r>
          </w:p>
        </w:tc>
        <w:tc>
          <w:tcPr>
            <w:tcW w:w="710" w:type="pct"/>
            <w:vMerge w:val="restart"/>
            <w:noWrap w:val="0"/>
            <w:vAlign w:val="center"/>
          </w:tcPr>
          <w:p>
            <w:pPr>
              <w:pStyle w:val="40"/>
              <w:jc w:val="center"/>
              <w:rPr>
                <w:color w:val="auto"/>
                <w:highlight w:val="none"/>
              </w:rPr>
            </w:pPr>
            <w:r>
              <w:rPr>
                <w:rFonts w:hint="eastAsia"/>
                <w:color w:val="auto"/>
                <w:highlight w:val="none"/>
              </w:rPr>
              <w:t>230</w:t>
            </w:r>
            <w:r>
              <w:rPr>
                <w:rFonts w:hint="eastAsia"/>
                <w:color w:val="auto"/>
                <w:highlight w:val="none"/>
                <w:lang w:eastAsia="zh-CN"/>
              </w:rPr>
              <w:t>.</w:t>
            </w:r>
            <w:r>
              <w:rPr>
                <w:rFonts w:hint="eastAsia"/>
                <w:color w:val="auto"/>
                <w:highlight w:val="none"/>
              </w:rPr>
              <w:t>31</w:t>
            </w:r>
          </w:p>
        </w:tc>
        <w:tc>
          <w:tcPr>
            <w:tcW w:w="710" w:type="pct"/>
            <w:vMerge w:val="restart"/>
            <w:noWrap w:val="0"/>
            <w:vAlign w:val="center"/>
          </w:tcPr>
          <w:p>
            <w:pPr>
              <w:pStyle w:val="40"/>
              <w:jc w:val="center"/>
              <w:rPr>
                <w:color w:val="auto"/>
                <w:highlight w:val="none"/>
              </w:rPr>
            </w:pPr>
            <w:r>
              <w:rPr>
                <w:rFonts w:hint="eastAsia"/>
                <w:color w:val="auto"/>
                <w:highlight w:val="none"/>
              </w:rPr>
              <w:t>231</w:t>
            </w:r>
            <w:r>
              <w:rPr>
                <w:rFonts w:hint="eastAsia"/>
                <w:color w:val="auto"/>
                <w:highlight w:val="none"/>
                <w:lang w:eastAsia="zh-CN"/>
              </w:rPr>
              <w:t>.</w:t>
            </w:r>
            <w:r>
              <w:rPr>
                <w:rFonts w:hint="eastAsia"/>
                <w:color w:val="auto"/>
                <w:highlight w:val="none"/>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5" w:type="pct"/>
            <w:noWrap w:val="0"/>
            <w:vAlign w:val="center"/>
          </w:tcPr>
          <w:p>
            <w:pPr>
              <w:pStyle w:val="40"/>
              <w:jc w:val="center"/>
              <w:rPr>
                <w:color w:val="auto"/>
                <w:highlight w:val="none"/>
              </w:rPr>
            </w:pPr>
            <w:r>
              <w:rPr>
                <w:rFonts w:hint="eastAsia"/>
                <w:color w:val="auto"/>
                <w:highlight w:val="none"/>
              </w:rPr>
              <w:t>校核洪水位</w:t>
            </w:r>
          </w:p>
          <w:p>
            <w:pPr>
              <w:pStyle w:val="40"/>
              <w:jc w:val="center"/>
              <w:rPr>
                <w:color w:val="auto"/>
                <w:highlight w:val="none"/>
              </w:rPr>
            </w:pPr>
            <w:r>
              <w:rPr>
                <w:rFonts w:hint="eastAsia"/>
                <w:color w:val="auto"/>
                <w:highlight w:val="none"/>
              </w:rPr>
              <w:t>（非常运用条件）</w:t>
            </w:r>
          </w:p>
        </w:tc>
        <w:tc>
          <w:tcPr>
            <w:tcW w:w="511" w:type="pct"/>
            <w:noWrap w:val="0"/>
            <w:vAlign w:val="center"/>
          </w:tcPr>
          <w:p>
            <w:pPr>
              <w:pStyle w:val="40"/>
              <w:jc w:val="center"/>
              <w:rPr>
                <w:color w:val="auto"/>
                <w:highlight w:val="none"/>
              </w:rPr>
            </w:pPr>
            <w:r>
              <w:rPr>
                <w:rFonts w:hint="eastAsia"/>
                <w:color w:val="auto"/>
                <w:highlight w:val="none"/>
              </w:rPr>
              <w:t>229</w:t>
            </w:r>
            <w:r>
              <w:rPr>
                <w:rFonts w:hint="eastAsia"/>
                <w:color w:val="auto"/>
                <w:highlight w:val="none"/>
                <w:lang w:eastAsia="zh-CN"/>
              </w:rPr>
              <w:t>.</w:t>
            </w:r>
            <w:r>
              <w:rPr>
                <w:rFonts w:hint="eastAsia"/>
                <w:color w:val="auto"/>
                <w:highlight w:val="none"/>
              </w:rPr>
              <w:t>39</w:t>
            </w:r>
          </w:p>
        </w:tc>
        <w:tc>
          <w:tcPr>
            <w:tcW w:w="617" w:type="pct"/>
            <w:noWrap w:val="0"/>
            <w:vAlign w:val="center"/>
          </w:tcPr>
          <w:p>
            <w:pPr>
              <w:pStyle w:val="40"/>
              <w:jc w:val="center"/>
              <w:rPr>
                <w:color w:val="auto"/>
                <w:highlight w:val="none"/>
              </w:rPr>
            </w:pPr>
            <w:r>
              <w:rPr>
                <w:rFonts w:hint="eastAsia"/>
                <w:color w:val="auto"/>
                <w:highlight w:val="none"/>
              </w:rPr>
              <w:t>0</w:t>
            </w:r>
            <w:r>
              <w:rPr>
                <w:rFonts w:hint="eastAsia"/>
                <w:color w:val="auto"/>
                <w:highlight w:val="none"/>
                <w:lang w:eastAsia="zh-CN"/>
              </w:rPr>
              <w:t>.</w:t>
            </w:r>
            <w:r>
              <w:rPr>
                <w:rFonts w:hint="eastAsia"/>
                <w:color w:val="auto"/>
                <w:highlight w:val="none"/>
              </w:rPr>
              <w:t>3</w:t>
            </w:r>
          </w:p>
        </w:tc>
        <w:tc>
          <w:tcPr>
            <w:tcW w:w="617" w:type="pct"/>
            <w:noWrap w:val="0"/>
            <w:vAlign w:val="center"/>
          </w:tcPr>
          <w:p>
            <w:pPr>
              <w:pStyle w:val="40"/>
              <w:jc w:val="center"/>
              <w:rPr>
                <w:color w:val="auto"/>
                <w:highlight w:val="none"/>
              </w:rPr>
            </w:pPr>
            <w:r>
              <w:rPr>
                <w:rFonts w:hint="eastAsia"/>
                <w:color w:val="auto"/>
                <w:highlight w:val="none"/>
              </w:rPr>
              <w:t>0</w:t>
            </w:r>
            <w:r>
              <w:rPr>
                <w:rFonts w:hint="eastAsia"/>
                <w:color w:val="auto"/>
                <w:highlight w:val="none"/>
                <w:lang w:eastAsia="zh-CN"/>
              </w:rPr>
              <w:t>.</w:t>
            </w:r>
            <w:r>
              <w:rPr>
                <w:rFonts w:hint="eastAsia"/>
                <w:color w:val="auto"/>
                <w:highlight w:val="none"/>
              </w:rPr>
              <w:t>62</w:t>
            </w:r>
          </w:p>
        </w:tc>
        <w:tc>
          <w:tcPr>
            <w:tcW w:w="617" w:type="pct"/>
            <w:noWrap w:val="0"/>
            <w:vAlign w:val="center"/>
          </w:tcPr>
          <w:p>
            <w:pPr>
              <w:pStyle w:val="40"/>
              <w:jc w:val="center"/>
              <w:rPr>
                <w:color w:val="auto"/>
                <w:highlight w:val="none"/>
              </w:rPr>
            </w:pPr>
            <w:r>
              <w:rPr>
                <w:rFonts w:hint="eastAsia"/>
                <w:color w:val="auto"/>
                <w:highlight w:val="none"/>
              </w:rPr>
              <w:t>230</w:t>
            </w:r>
            <w:r>
              <w:rPr>
                <w:rFonts w:hint="eastAsia"/>
                <w:color w:val="auto"/>
                <w:highlight w:val="none"/>
                <w:lang w:eastAsia="zh-CN"/>
              </w:rPr>
              <w:t>.</w:t>
            </w:r>
            <w:r>
              <w:rPr>
                <w:rFonts w:hint="eastAsia"/>
                <w:color w:val="auto"/>
                <w:highlight w:val="none"/>
              </w:rPr>
              <w:t>31</w:t>
            </w:r>
          </w:p>
        </w:tc>
        <w:tc>
          <w:tcPr>
            <w:tcW w:w="710" w:type="pct"/>
            <w:vMerge w:val="continue"/>
            <w:noWrap w:val="0"/>
            <w:vAlign w:val="center"/>
          </w:tcPr>
          <w:p>
            <w:pPr>
              <w:pStyle w:val="40"/>
              <w:rPr>
                <w:color w:val="auto"/>
                <w:highlight w:val="none"/>
              </w:rPr>
            </w:pPr>
          </w:p>
        </w:tc>
        <w:tc>
          <w:tcPr>
            <w:tcW w:w="710" w:type="pct"/>
            <w:vMerge w:val="continue"/>
            <w:noWrap w:val="0"/>
            <w:vAlign w:val="center"/>
          </w:tcPr>
          <w:p>
            <w:pPr>
              <w:pStyle w:val="40"/>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5" w:type="pct"/>
            <w:noWrap w:val="0"/>
            <w:vAlign w:val="center"/>
          </w:tcPr>
          <w:p>
            <w:pPr>
              <w:pStyle w:val="40"/>
              <w:jc w:val="center"/>
              <w:rPr>
                <w:color w:val="auto"/>
                <w:highlight w:val="none"/>
              </w:rPr>
            </w:pPr>
            <w:r>
              <w:rPr>
                <w:rFonts w:hint="eastAsia"/>
                <w:color w:val="auto"/>
                <w:highlight w:val="none"/>
              </w:rPr>
              <w:t>正常蓄水位</w:t>
            </w:r>
          </w:p>
          <w:p>
            <w:pPr>
              <w:pStyle w:val="40"/>
              <w:jc w:val="center"/>
              <w:rPr>
                <w:color w:val="auto"/>
                <w:highlight w:val="none"/>
              </w:rPr>
            </w:pPr>
            <w:r>
              <w:rPr>
                <w:rFonts w:hint="eastAsia"/>
                <w:color w:val="auto"/>
                <w:highlight w:val="none"/>
              </w:rPr>
              <w:t>（非常运用条件）</w:t>
            </w:r>
          </w:p>
        </w:tc>
        <w:tc>
          <w:tcPr>
            <w:tcW w:w="511" w:type="pct"/>
            <w:noWrap w:val="0"/>
            <w:vAlign w:val="center"/>
          </w:tcPr>
          <w:p>
            <w:pPr>
              <w:pStyle w:val="40"/>
              <w:jc w:val="center"/>
              <w:rPr>
                <w:rFonts w:hint="default" w:eastAsia="宋体"/>
                <w:color w:val="auto"/>
                <w:highlight w:val="none"/>
                <w:lang w:val="en-US" w:eastAsia="zh-CN"/>
              </w:rPr>
            </w:pPr>
            <w:r>
              <w:rPr>
                <w:rFonts w:hint="eastAsia"/>
                <w:color w:val="auto"/>
                <w:highlight w:val="none"/>
              </w:rPr>
              <w:t>22</w:t>
            </w:r>
            <w:r>
              <w:rPr>
                <w:rFonts w:hint="eastAsia"/>
                <w:color w:val="auto"/>
                <w:highlight w:val="none"/>
                <w:lang w:val="en-US" w:eastAsia="zh-CN"/>
              </w:rPr>
              <w:t>5.7</w:t>
            </w:r>
          </w:p>
        </w:tc>
        <w:tc>
          <w:tcPr>
            <w:tcW w:w="617" w:type="pct"/>
            <w:noWrap w:val="0"/>
            <w:vAlign w:val="center"/>
          </w:tcPr>
          <w:p>
            <w:pPr>
              <w:pStyle w:val="40"/>
              <w:jc w:val="center"/>
              <w:rPr>
                <w:color w:val="auto"/>
                <w:highlight w:val="none"/>
              </w:rPr>
            </w:pPr>
            <w:r>
              <w:rPr>
                <w:rFonts w:hint="eastAsia"/>
                <w:color w:val="auto"/>
                <w:highlight w:val="none"/>
              </w:rPr>
              <w:t>0</w:t>
            </w:r>
            <w:r>
              <w:rPr>
                <w:rFonts w:hint="eastAsia"/>
                <w:color w:val="auto"/>
                <w:highlight w:val="none"/>
                <w:lang w:eastAsia="zh-CN"/>
              </w:rPr>
              <w:t>.</w:t>
            </w:r>
            <w:r>
              <w:rPr>
                <w:rFonts w:hint="eastAsia"/>
                <w:color w:val="auto"/>
                <w:highlight w:val="none"/>
              </w:rPr>
              <w:t>3+1</w:t>
            </w:r>
          </w:p>
        </w:tc>
        <w:tc>
          <w:tcPr>
            <w:tcW w:w="617" w:type="pct"/>
            <w:noWrap w:val="0"/>
            <w:vAlign w:val="center"/>
          </w:tcPr>
          <w:p>
            <w:pPr>
              <w:pStyle w:val="40"/>
              <w:jc w:val="center"/>
              <w:rPr>
                <w:color w:val="auto"/>
                <w:highlight w:val="none"/>
              </w:rPr>
            </w:pPr>
            <w:r>
              <w:rPr>
                <w:rFonts w:hint="eastAsia"/>
                <w:color w:val="auto"/>
                <w:highlight w:val="none"/>
              </w:rPr>
              <w:t>0</w:t>
            </w:r>
            <w:r>
              <w:rPr>
                <w:rFonts w:hint="eastAsia"/>
                <w:color w:val="auto"/>
                <w:highlight w:val="none"/>
                <w:lang w:eastAsia="zh-CN"/>
              </w:rPr>
              <w:t>.</w:t>
            </w:r>
            <w:r>
              <w:rPr>
                <w:rFonts w:hint="eastAsia"/>
                <w:color w:val="auto"/>
                <w:highlight w:val="none"/>
              </w:rPr>
              <w:t>62</w:t>
            </w:r>
          </w:p>
        </w:tc>
        <w:tc>
          <w:tcPr>
            <w:tcW w:w="617" w:type="pct"/>
            <w:noWrap w:val="0"/>
            <w:vAlign w:val="center"/>
          </w:tcPr>
          <w:p>
            <w:pPr>
              <w:pStyle w:val="40"/>
              <w:jc w:val="center"/>
              <w:rPr>
                <w:color w:val="auto"/>
                <w:highlight w:val="none"/>
              </w:rPr>
            </w:pPr>
            <w:r>
              <w:rPr>
                <w:rFonts w:hint="eastAsia"/>
                <w:color w:val="auto"/>
                <w:highlight w:val="none"/>
              </w:rPr>
              <w:t>227</w:t>
            </w:r>
            <w:r>
              <w:rPr>
                <w:rFonts w:hint="eastAsia"/>
                <w:color w:val="auto"/>
                <w:highlight w:val="none"/>
                <w:lang w:eastAsia="zh-CN"/>
              </w:rPr>
              <w:t>.</w:t>
            </w:r>
            <w:r>
              <w:rPr>
                <w:rFonts w:hint="eastAsia"/>
                <w:color w:val="auto"/>
                <w:highlight w:val="none"/>
              </w:rPr>
              <w:t>62</w:t>
            </w:r>
          </w:p>
        </w:tc>
        <w:tc>
          <w:tcPr>
            <w:tcW w:w="710" w:type="pct"/>
            <w:vMerge w:val="continue"/>
            <w:noWrap w:val="0"/>
            <w:vAlign w:val="center"/>
          </w:tcPr>
          <w:p>
            <w:pPr>
              <w:pStyle w:val="40"/>
              <w:rPr>
                <w:color w:val="auto"/>
                <w:highlight w:val="none"/>
              </w:rPr>
            </w:pPr>
          </w:p>
        </w:tc>
        <w:tc>
          <w:tcPr>
            <w:tcW w:w="710" w:type="pct"/>
            <w:vMerge w:val="continue"/>
            <w:noWrap w:val="0"/>
            <w:vAlign w:val="center"/>
          </w:tcPr>
          <w:p>
            <w:pPr>
              <w:pStyle w:val="40"/>
              <w:rPr>
                <w:color w:val="auto"/>
                <w:highlight w:val="none"/>
              </w:rPr>
            </w:pPr>
          </w:p>
        </w:tc>
      </w:tr>
    </w:tbl>
    <w:p>
      <w:pPr>
        <w:rPr>
          <w:rFonts w:hint="eastAsia" w:eastAsia="宋体"/>
          <w:bCs/>
          <w:color w:val="auto"/>
          <w:sz w:val="24"/>
          <w:highlight w:val="none"/>
          <w:lang w:eastAsia="zh-CN"/>
        </w:rPr>
      </w:pPr>
      <w:r>
        <w:rPr>
          <w:rFonts w:hint="eastAsia" w:eastAsia="宋体"/>
          <w:bCs/>
          <w:color w:val="auto"/>
          <w:sz w:val="24"/>
          <w:highlight w:val="none"/>
          <w:lang w:eastAsia="zh-CN"/>
        </w:rPr>
        <w:t>经复核，大坝现状坝顶高程为230.6-231.2m ，现状坝顶高程大于最大计算坝顶高程230.31m，大坝的坝顶高程满足国家现行规范的要求。</w:t>
      </w:r>
    </w:p>
    <w:p>
      <w:pPr>
        <w:pStyle w:val="5"/>
        <w:bidi w:val="0"/>
        <w:rPr>
          <w:rFonts w:hint="eastAsia"/>
          <w:color w:val="auto"/>
          <w:highlight w:val="none"/>
          <w:lang w:val="en-US" w:eastAsia="zh-CN"/>
        </w:rPr>
      </w:pPr>
      <w:r>
        <w:rPr>
          <w:rFonts w:hint="eastAsia"/>
          <w:color w:val="auto"/>
          <w:highlight w:val="none"/>
          <w:lang w:val="en-US" w:eastAsia="zh-CN"/>
        </w:rPr>
        <w:t>1.5.3坝加固前后对比</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rPr>
          <w:rFonts w:hint="eastAsia" w:ascii="Times New Roman" w:hAnsi="Times New Roman" w:eastAsia="宋体" w:cs="Times New Roman"/>
          <w:color w:val="auto"/>
          <w:kern w:val="2"/>
          <w:sz w:val="24"/>
          <w:szCs w:val="24"/>
          <w:highlight w:val="none"/>
          <w:lang w:val="en-US" w:eastAsia="zh-CN" w:bidi="ar-SA"/>
        </w:rPr>
      </w:pPr>
      <w:r>
        <w:rPr>
          <w:rFonts w:hint="eastAsia" w:ascii="Times New Roman" w:hAnsi="Times New Roman" w:eastAsia="宋体" w:cs="Times New Roman"/>
          <w:color w:val="auto"/>
          <w:kern w:val="2"/>
          <w:sz w:val="24"/>
          <w:szCs w:val="24"/>
          <w:highlight w:val="none"/>
          <w:lang w:val="en-US" w:eastAsia="zh-CN" w:bidi="ar-SA"/>
        </w:rPr>
        <w:t>1.渗流</w:t>
      </w:r>
      <w:r>
        <w:rPr>
          <w:rFonts w:hint="eastAsia" w:cs="Times New Roman"/>
          <w:color w:val="auto"/>
          <w:kern w:val="2"/>
          <w:sz w:val="24"/>
          <w:szCs w:val="24"/>
          <w:highlight w:val="none"/>
          <w:lang w:val="en-US" w:eastAsia="zh-CN" w:bidi="ar-SA"/>
        </w:rPr>
        <w:t>稳定复核</w:t>
      </w:r>
    </w:p>
    <w:tbl>
      <w:tblPr>
        <w:tblStyle w:val="23"/>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34"/>
        <w:gridCol w:w="2278"/>
        <w:gridCol w:w="1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2544" w:type="pct"/>
            <w:tcBorders>
              <w:top w:val="single" w:color="auto" w:sz="4" w:space="0"/>
              <w:left w:val="single" w:color="auto" w:sz="4" w:space="0"/>
              <w:bottom w:val="single" w:color="auto" w:sz="4" w:space="0"/>
              <w:right w:val="single" w:color="auto" w:sz="4" w:space="0"/>
            </w:tcBorders>
            <w:noWrap w:val="0"/>
            <w:vAlign w:val="center"/>
          </w:tcPr>
          <w:p>
            <w:pPr>
              <w:widowControl w:val="0"/>
              <w:spacing w:line="240" w:lineRule="auto"/>
              <w:ind w:firstLine="0" w:firstLineChars="0"/>
              <w:jc w:val="center"/>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工况</w:t>
            </w:r>
          </w:p>
        </w:tc>
        <w:tc>
          <w:tcPr>
            <w:tcW w:w="1337" w:type="pct"/>
            <w:tcBorders>
              <w:top w:val="single" w:color="auto" w:sz="4" w:space="0"/>
              <w:left w:val="single" w:color="auto" w:sz="4" w:space="0"/>
              <w:bottom w:val="single" w:color="auto" w:sz="4" w:space="0"/>
              <w:right w:val="single" w:color="auto" w:sz="4" w:space="0"/>
            </w:tcBorders>
            <w:noWrap w:val="0"/>
            <w:vAlign w:val="center"/>
          </w:tcPr>
          <w:p>
            <w:pPr>
              <w:widowControl w:val="0"/>
              <w:spacing w:line="240" w:lineRule="auto"/>
              <w:ind w:firstLine="0" w:firstLineChars="0"/>
              <w:jc w:val="center"/>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最大渗透比降Jmax</w:t>
            </w:r>
          </w:p>
        </w:tc>
        <w:tc>
          <w:tcPr>
            <w:tcW w:w="1118" w:type="pct"/>
            <w:tcBorders>
              <w:top w:val="single" w:color="auto" w:sz="4" w:space="0"/>
              <w:left w:val="single" w:color="auto" w:sz="4" w:space="0"/>
              <w:bottom w:val="single" w:color="auto" w:sz="4" w:space="0"/>
              <w:right w:val="single" w:color="auto" w:sz="4" w:space="0"/>
            </w:tcBorders>
            <w:noWrap w:val="0"/>
            <w:vAlign w:val="center"/>
          </w:tcPr>
          <w:p>
            <w:pPr>
              <w:widowControl w:val="0"/>
              <w:spacing w:line="240" w:lineRule="auto"/>
              <w:ind w:firstLine="0" w:firstLineChars="0"/>
              <w:jc w:val="center"/>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最大允许比降[J]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2544" w:type="pct"/>
            <w:tcBorders>
              <w:top w:val="single" w:color="auto" w:sz="4" w:space="0"/>
              <w:left w:val="single" w:color="auto" w:sz="4" w:space="0"/>
              <w:bottom w:val="single" w:color="auto" w:sz="4" w:space="0"/>
              <w:right w:val="single" w:color="auto" w:sz="4" w:space="0"/>
            </w:tcBorders>
            <w:noWrap w:val="0"/>
            <w:vAlign w:val="center"/>
          </w:tcPr>
          <w:p>
            <w:pPr>
              <w:widowControl w:val="0"/>
              <w:spacing w:line="240" w:lineRule="auto"/>
              <w:ind w:firstLine="0" w:firstLineChars="0"/>
              <w:jc w:val="center"/>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正常蓄水位(工况一)</w:t>
            </w:r>
          </w:p>
        </w:tc>
        <w:tc>
          <w:tcPr>
            <w:tcW w:w="1337" w:type="pct"/>
            <w:tcBorders>
              <w:top w:val="single" w:color="auto" w:sz="4" w:space="0"/>
              <w:left w:val="single" w:color="auto" w:sz="4" w:space="0"/>
              <w:bottom w:val="single" w:color="auto" w:sz="4" w:space="0"/>
              <w:right w:val="single" w:color="auto" w:sz="4" w:space="0"/>
            </w:tcBorders>
            <w:noWrap w:val="0"/>
            <w:vAlign w:val="center"/>
          </w:tcPr>
          <w:p>
            <w:pPr>
              <w:widowControl w:val="0"/>
              <w:spacing w:line="240" w:lineRule="auto"/>
              <w:ind w:firstLine="0" w:firstLineChars="0"/>
              <w:jc w:val="center"/>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棱体</w:t>
            </w:r>
          </w:p>
        </w:tc>
        <w:tc>
          <w:tcPr>
            <w:tcW w:w="1118" w:type="pct"/>
            <w:tcBorders>
              <w:top w:val="single" w:color="auto" w:sz="4" w:space="0"/>
              <w:left w:val="single" w:color="auto" w:sz="4" w:space="0"/>
              <w:bottom w:val="single" w:color="auto" w:sz="4" w:space="0"/>
              <w:right w:val="single" w:color="auto" w:sz="4" w:space="0"/>
            </w:tcBorders>
            <w:noWrap w:val="0"/>
            <w:vAlign w:val="center"/>
          </w:tcPr>
          <w:p>
            <w:pPr>
              <w:widowControl w:val="0"/>
              <w:spacing w:line="240" w:lineRule="auto"/>
              <w:ind w:firstLine="0" w:firstLineChars="0"/>
              <w:jc w:val="center"/>
              <w:rPr>
                <w:rFonts w:hint="default" w:ascii="Times New Roman" w:hAnsi="Times New Roman" w:eastAsia="宋体" w:cs="宋体"/>
                <w:color w:val="auto"/>
                <w:kern w:val="0"/>
                <w:sz w:val="21"/>
                <w:szCs w:val="21"/>
                <w:highlight w:val="none"/>
                <w:lang w:val="en-US" w:eastAsia="zh-CN" w:bidi="ar"/>
              </w:rPr>
            </w:pPr>
            <w:r>
              <w:rPr>
                <w:rFonts w:hint="eastAsia" w:eastAsia="宋体" w:cs="宋体"/>
                <w:color w:val="auto"/>
                <w:kern w:val="0"/>
                <w:sz w:val="21"/>
                <w:szCs w:val="21"/>
                <w:highlight w:val="none"/>
                <w:lang w:val="en-US" w:eastAsia="zh-CN" w:bidi="ar"/>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2544" w:type="pct"/>
            <w:tcBorders>
              <w:top w:val="single" w:color="auto" w:sz="4" w:space="0"/>
              <w:left w:val="single" w:color="auto" w:sz="4" w:space="0"/>
              <w:bottom w:val="single" w:color="auto" w:sz="4" w:space="0"/>
              <w:right w:val="single" w:color="auto" w:sz="4" w:space="0"/>
            </w:tcBorders>
            <w:noWrap w:val="0"/>
            <w:vAlign w:val="center"/>
          </w:tcPr>
          <w:p>
            <w:pPr>
              <w:widowControl w:val="0"/>
              <w:spacing w:line="240" w:lineRule="auto"/>
              <w:ind w:firstLine="0" w:firstLineChars="0"/>
              <w:jc w:val="center"/>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设计洪水位(工况二)</w:t>
            </w:r>
          </w:p>
        </w:tc>
        <w:tc>
          <w:tcPr>
            <w:tcW w:w="1337" w:type="pct"/>
            <w:tcBorders>
              <w:top w:val="single" w:color="auto" w:sz="4" w:space="0"/>
              <w:left w:val="single" w:color="auto" w:sz="4" w:space="0"/>
              <w:bottom w:val="single" w:color="auto" w:sz="4" w:space="0"/>
              <w:right w:val="single" w:color="auto" w:sz="4" w:space="0"/>
            </w:tcBorders>
            <w:noWrap w:val="0"/>
            <w:vAlign w:val="center"/>
          </w:tcPr>
          <w:p>
            <w:pPr>
              <w:widowControl w:val="0"/>
              <w:spacing w:line="240" w:lineRule="auto"/>
              <w:ind w:firstLine="0" w:firstLineChars="0"/>
              <w:jc w:val="center"/>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棱体</w:t>
            </w:r>
          </w:p>
        </w:tc>
        <w:tc>
          <w:tcPr>
            <w:tcW w:w="1118" w:type="pct"/>
            <w:tcBorders>
              <w:top w:val="single" w:color="auto" w:sz="4" w:space="0"/>
              <w:left w:val="single" w:color="auto" w:sz="4" w:space="0"/>
              <w:bottom w:val="single" w:color="auto" w:sz="4" w:space="0"/>
              <w:right w:val="single" w:color="auto" w:sz="4" w:space="0"/>
            </w:tcBorders>
            <w:noWrap w:val="0"/>
            <w:vAlign w:val="center"/>
          </w:tcPr>
          <w:p>
            <w:pPr>
              <w:widowControl w:val="0"/>
              <w:spacing w:line="240" w:lineRule="auto"/>
              <w:ind w:firstLine="0" w:firstLineChars="0"/>
              <w:jc w:val="center"/>
              <w:rPr>
                <w:rFonts w:hint="eastAsia" w:eastAsia="宋体" w:cs="宋体"/>
                <w:color w:val="auto"/>
                <w:kern w:val="0"/>
                <w:sz w:val="21"/>
                <w:szCs w:val="21"/>
                <w:highlight w:val="none"/>
                <w:lang w:val="en-US" w:eastAsia="zh-CN" w:bidi="ar"/>
              </w:rPr>
            </w:pPr>
            <w:r>
              <w:rPr>
                <w:rFonts w:hint="eastAsia" w:eastAsia="宋体" w:cs="宋体"/>
                <w:color w:val="auto"/>
                <w:kern w:val="0"/>
                <w:sz w:val="21"/>
                <w:szCs w:val="21"/>
                <w:highlight w:val="none"/>
                <w:lang w:val="en-US" w:eastAsia="zh-CN" w:bidi="ar"/>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5" w:hRule="atLeast"/>
          <w:jc w:val="center"/>
        </w:trPr>
        <w:tc>
          <w:tcPr>
            <w:tcW w:w="2544" w:type="pct"/>
            <w:tcBorders>
              <w:top w:val="single" w:color="auto" w:sz="4" w:space="0"/>
              <w:left w:val="single" w:color="auto" w:sz="4" w:space="0"/>
              <w:bottom w:val="single" w:color="auto" w:sz="4" w:space="0"/>
              <w:right w:val="single" w:color="auto" w:sz="4" w:space="0"/>
            </w:tcBorders>
            <w:noWrap w:val="0"/>
            <w:vAlign w:val="center"/>
          </w:tcPr>
          <w:p>
            <w:pPr>
              <w:widowControl w:val="0"/>
              <w:spacing w:line="240" w:lineRule="auto"/>
              <w:ind w:firstLine="0" w:firstLineChars="0"/>
              <w:jc w:val="center"/>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正常蓄水位降至死水位(工况三)</w:t>
            </w:r>
          </w:p>
        </w:tc>
        <w:tc>
          <w:tcPr>
            <w:tcW w:w="1337" w:type="pct"/>
            <w:tcBorders>
              <w:top w:val="single" w:color="auto" w:sz="4" w:space="0"/>
              <w:left w:val="single" w:color="auto" w:sz="4" w:space="0"/>
              <w:bottom w:val="single" w:color="auto" w:sz="4" w:space="0"/>
              <w:right w:val="single" w:color="auto" w:sz="4" w:space="0"/>
            </w:tcBorders>
            <w:noWrap w:val="0"/>
            <w:vAlign w:val="center"/>
          </w:tcPr>
          <w:p>
            <w:pPr>
              <w:widowControl w:val="0"/>
              <w:spacing w:line="240" w:lineRule="auto"/>
              <w:ind w:firstLine="0" w:firstLineChars="0"/>
              <w:jc w:val="center"/>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棱体</w:t>
            </w:r>
          </w:p>
        </w:tc>
        <w:tc>
          <w:tcPr>
            <w:tcW w:w="1118" w:type="pct"/>
            <w:tcBorders>
              <w:top w:val="single" w:color="auto" w:sz="4" w:space="0"/>
              <w:left w:val="single" w:color="auto" w:sz="4" w:space="0"/>
              <w:bottom w:val="single" w:color="auto" w:sz="4" w:space="0"/>
              <w:right w:val="single" w:color="auto" w:sz="4" w:space="0"/>
            </w:tcBorders>
            <w:noWrap w:val="0"/>
            <w:vAlign w:val="center"/>
          </w:tcPr>
          <w:p>
            <w:pPr>
              <w:widowControl w:val="0"/>
              <w:spacing w:line="240" w:lineRule="auto"/>
              <w:ind w:firstLine="0" w:firstLineChars="0"/>
              <w:jc w:val="center"/>
              <w:rPr>
                <w:rFonts w:hint="eastAsia" w:eastAsia="宋体" w:cs="宋体"/>
                <w:color w:val="auto"/>
                <w:kern w:val="0"/>
                <w:sz w:val="21"/>
                <w:szCs w:val="21"/>
                <w:highlight w:val="none"/>
                <w:lang w:val="en-US" w:eastAsia="zh-CN" w:bidi="ar"/>
              </w:rPr>
            </w:pPr>
            <w:r>
              <w:rPr>
                <w:rFonts w:hint="eastAsia" w:eastAsia="宋体" w:cs="宋体"/>
                <w:color w:val="auto"/>
                <w:kern w:val="0"/>
                <w:sz w:val="21"/>
                <w:szCs w:val="21"/>
                <w:highlight w:val="none"/>
                <w:lang w:val="en-US" w:eastAsia="zh-CN" w:bidi="ar"/>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2544" w:type="pct"/>
            <w:tcBorders>
              <w:top w:val="single" w:color="auto" w:sz="4" w:space="0"/>
              <w:left w:val="single" w:color="auto" w:sz="4" w:space="0"/>
              <w:bottom w:val="single" w:color="auto" w:sz="4" w:space="0"/>
              <w:right w:val="single" w:color="auto" w:sz="4" w:space="0"/>
            </w:tcBorders>
            <w:noWrap w:val="0"/>
            <w:vAlign w:val="center"/>
          </w:tcPr>
          <w:p>
            <w:pPr>
              <w:widowControl w:val="0"/>
              <w:spacing w:line="240" w:lineRule="auto"/>
              <w:ind w:firstLine="0" w:firstLineChars="0"/>
              <w:jc w:val="center"/>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设计洪水位降至正常蓄水位(工况四)</w:t>
            </w:r>
          </w:p>
        </w:tc>
        <w:tc>
          <w:tcPr>
            <w:tcW w:w="1337" w:type="pct"/>
            <w:tcBorders>
              <w:top w:val="single" w:color="auto" w:sz="4" w:space="0"/>
              <w:left w:val="single" w:color="auto" w:sz="4" w:space="0"/>
              <w:bottom w:val="single" w:color="auto" w:sz="4" w:space="0"/>
              <w:right w:val="single" w:color="auto" w:sz="4" w:space="0"/>
            </w:tcBorders>
            <w:noWrap w:val="0"/>
            <w:vAlign w:val="center"/>
          </w:tcPr>
          <w:p>
            <w:pPr>
              <w:widowControl w:val="0"/>
              <w:spacing w:line="240" w:lineRule="auto"/>
              <w:ind w:firstLine="0" w:firstLineChars="0"/>
              <w:jc w:val="center"/>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棱体</w:t>
            </w:r>
          </w:p>
        </w:tc>
        <w:tc>
          <w:tcPr>
            <w:tcW w:w="1118" w:type="pct"/>
            <w:tcBorders>
              <w:top w:val="single" w:color="auto" w:sz="4" w:space="0"/>
              <w:left w:val="single" w:color="auto" w:sz="4" w:space="0"/>
              <w:bottom w:val="single" w:color="auto" w:sz="4" w:space="0"/>
              <w:right w:val="single" w:color="auto" w:sz="4" w:space="0"/>
            </w:tcBorders>
            <w:noWrap w:val="0"/>
            <w:vAlign w:val="center"/>
          </w:tcPr>
          <w:p>
            <w:pPr>
              <w:widowControl w:val="0"/>
              <w:spacing w:line="240" w:lineRule="auto"/>
              <w:ind w:firstLine="0" w:firstLineChars="0"/>
              <w:jc w:val="center"/>
              <w:rPr>
                <w:rFonts w:hint="eastAsia" w:eastAsia="宋体" w:cs="宋体"/>
                <w:color w:val="auto"/>
                <w:kern w:val="0"/>
                <w:sz w:val="21"/>
                <w:szCs w:val="21"/>
                <w:highlight w:val="none"/>
                <w:lang w:val="en-US" w:eastAsia="zh-CN" w:bidi="ar"/>
              </w:rPr>
            </w:pPr>
            <w:r>
              <w:rPr>
                <w:rFonts w:hint="eastAsia" w:eastAsia="宋体" w:cs="宋体"/>
                <w:color w:val="auto"/>
                <w:kern w:val="0"/>
                <w:sz w:val="21"/>
                <w:szCs w:val="21"/>
                <w:highlight w:val="none"/>
                <w:lang w:val="en-US" w:eastAsia="zh-CN" w:bidi="ar"/>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2544" w:type="pct"/>
            <w:tcBorders>
              <w:top w:val="single" w:color="auto" w:sz="4" w:space="0"/>
              <w:left w:val="single" w:color="auto" w:sz="4" w:space="0"/>
              <w:bottom w:val="single" w:color="auto" w:sz="4" w:space="0"/>
              <w:right w:val="single" w:color="auto" w:sz="4" w:space="0"/>
            </w:tcBorders>
            <w:noWrap w:val="0"/>
            <w:vAlign w:val="center"/>
          </w:tcPr>
          <w:p>
            <w:pPr>
              <w:widowControl w:val="0"/>
              <w:spacing w:line="240" w:lineRule="auto"/>
              <w:ind w:firstLine="0" w:firstLineChars="0"/>
              <w:jc w:val="center"/>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校核洪水位(工况五)</w:t>
            </w:r>
          </w:p>
        </w:tc>
        <w:tc>
          <w:tcPr>
            <w:tcW w:w="1337" w:type="pct"/>
            <w:tcBorders>
              <w:top w:val="single" w:color="auto" w:sz="4" w:space="0"/>
              <w:left w:val="single" w:color="auto" w:sz="4" w:space="0"/>
              <w:bottom w:val="single" w:color="auto" w:sz="4" w:space="0"/>
              <w:right w:val="single" w:color="auto" w:sz="4" w:space="0"/>
            </w:tcBorders>
            <w:noWrap w:val="0"/>
            <w:vAlign w:val="center"/>
          </w:tcPr>
          <w:p>
            <w:pPr>
              <w:widowControl w:val="0"/>
              <w:spacing w:line="240" w:lineRule="auto"/>
              <w:ind w:firstLine="0" w:firstLineChars="0"/>
              <w:jc w:val="center"/>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棱体</w:t>
            </w:r>
          </w:p>
        </w:tc>
        <w:tc>
          <w:tcPr>
            <w:tcW w:w="1118" w:type="pct"/>
            <w:tcBorders>
              <w:top w:val="single" w:color="auto" w:sz="4" w:space="0"/>
              <w:left w:val="single" w:color="auto" w:sz="4" w:space="0"/>
              <w:bottom w:val="single" w:color="auto" w:sz="4" w:space="0"/>
              <w:right w:val="single" w:color="auto" w:sz="4" w:space="0"/>
            </w:tcBorders>
            <w:noWrap w:val="0"/>
            <w:vAlign w:val="center"/>
          </w:tcPr>
          <w:p>
            <w:pPr>
              <w:widowControl w:val="0"/>
              <w:spacing w:line="240" w:lineRule="auto"/>
              <w:ind w:firstLine="0" w:firstLineChars="0"/>
              <w:jc w:val="center"/>
              <w:rPr>
                <w:rFonts w:hint="eastAsia" w:eastAsia="宋体" w:cs="宋体"/>
                <w:color w:val="auto"/>
                <w:kern w:val="0"/>
                <w:sz w:val="21"/>
                <w:szCs w:val="21"/>
                <w:highlight w:val="none"/>
                <w:lang w:val="en-US" w:eastAsia="zh-CN" w:bidi="ar"/>
              </w:rPr>
            </w:pPr>
            <w:r>
              <w:rPr>
                <w:rFonts w:hint="eastAsia" w:eastAsia="宋体" w:cs="宋体"/>
                <w:color w:val="auto"/>
                <w:kern w:val="0"/>
                <w:sz w:val="21"/>
                <w:szCs w:val="21"/>
                <w:highlight w:val="none"/>
                <w:lang w:val="en-US" w:eastAsia="zh-CN" w:bidi="ar"/>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2544" w:type="pct"/>
            <w:tcBorders>
              <w:top w:val="single" w:color="auto" w:sz="4" w:space="0"/>
              <w:left w:val="single" w:color="auto" w:sz="4" w:space="0"/>
              <w:bottom w:val="single" w:color="auto" w:sz="4" w:space="0"/>
              <w:right w:val="single" w:color="auto" w:sz="4" w:space="0"/>
            </w:tcBorders>
            <w:noWrap w:val="0"/>
            <w:vAlign w:val="center"/>
          </w:tcPr>
          <w:p>
            <w:pPr>
              <w:widowControl w:val="0"/>
              <w:spacing w:line="240" w:lineRule="auto"/>
              <w:ind w:firstLine="0" w:firstLineChars="0"/>
              <w:jc w:val="center"/>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校核洪水位降至正常蓄水位(工况六)</w:t>
            </w:r>
          </w:p>
        </w:tc>
        <w:tc>
          <w:tcPr>
            <w:tcW w:w="1337" w:type="pct"/>
            <w:tcBorders>
              <w:top w:val="single" w:color="auto" w:sz="4" w:space="0"/>
              <w:left w:val="single" w:color="auto" w:sz="4" w:space="0"/>
              <w:bottom w:val="single" w:color="auto" w:sz="4" w:space="0"/>
              <w:right w:val="single" w:color="auto" w:sz="4" w:space="0"/>
            </w:tcBorders>
            <w:noWrap w:val="0"/>
            <w:vAlign w:val="center"/>
          </w:tcPr>
          <w:p>
            <w:pPr>
              <w:widowControl w:val="0"/>
              <w:spacing w:line="240" w:lineRule="auto"/>
              <w:ind w:firstLine="0" w:firstLineChars="0"/>
              <w:jc w:val="center"/>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棱体</w:t>
            </w:r>
          </w:p>
        </w:tc>
        <w:tc>
          <w:tcPr>
            <w:tcW w:w="1118" w:type="pct"/>
            <w:tcBorders>
              <w:top w:val="single" w:color="auto" w:sz="4" w:space="0"/>
              <w:left w:val="single" w:color="auto" w:sz="4" w:space="0"/>
              <w:bottom w:val="single" w:color="auto" w:sz="4" w:space="0"/>
              <w:right w:val="single" w:color="auto" w:sz="4" w:space="0"/>
            </w:tcBorders>
            <w:noWrap w:val="0"/>
            <w:vAlign w:val="center"/>
          </w:tcPr>
          <w:p>
            <w:pPr>
              <w:widowControl w:val="0"/>
              <w:spacing w:line="240" w:lineRule="auto"/>
              <w:ind w:firstLine="0" w:firstLineChars="0"/>
              <w:jc w:val="center"/>
              <w:rPr>
                <w:rFonts w:hint="eastAsia" w:eastAsia="宋体" w:cs="宋体"/>
                <w:color w:val="auto"/>
                <w:kern w:val="0"/>
                <w:sz w:val="21"/>
                <w:szCs w:val="21"/>
                <w:highlight w:val="none"/>
                <w:lang w:val="en-US" w:eastAsia="zh-CN" w:bidi="ar"/>
              </w:rPr>
            </w:pPr>
            <w:r>
              <w:rPr>
                <w:rFonts w:hint="eastAsia" w:eastAsia="宋体" w:cs="宋体"/>
                <w:color w:val="auto"/>
                <w:kern w:val="0"/>
                <w:sz w:val="21"/>
                <w:szCs w:val="21"/>
                <w:highlight w:val="none"/>
                <w:lang w:val="en-US" w:eastAsia="zh-CN" w:bidi="ar"/>
              </w:rPr>
              <w:t>0.4</w:t>
            </w:r>
          </w:p>
        </w:tc>
      </w:tr>
    </w:tbl>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rPr>
          <w:rFonts w:hint="eastAsia" w:ascii="Times New Roman" w:hAnsi="Times New Roman" w:eastAsia="宋体" w:cs="Times New Roman"/>
          <w:color w:val="auto"/>
          <w:kern w:val="2"/>
          <w:sz w:val="24"/>
          <w:szCs w:val="24"/>
          <w:highlight w:val="none"/>
          <w:lang w:val="en-US" w:eastAsia="zh-CN" w:bidi="ar-SA"/>
        </w:rPr>
      </w:pPr>
      <w:r>
        <w:rPr>
          <w:rFonts w:hint="eastAsia" w:ascii="Times New Roman" w:hAnsi="Times New Roman" w:eastAsia="宋体" w:cs="Times New Roman"/>
          <w:color w:val="auto"/>
          <w:kern w:val="2"/>
          <w:sz w:val="24"/>
          <w:szCs w:val="24"/>
          <w:highlight w:val="none"/>
          <w:lang w:val="en-US" w:eastAsia="zh-CN" w:bidi="ar-SA"/>
        </w:rPr>
        <w:t>2.大坝抗滑稳定安全系数最小值计算成果表</w:t>
      </w:r>
    </w:p>
    <w:tbl>
      <w:tblPr>
        <w:tblStyle w:val="23"/>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02"/>
        <w:gridCol w:w="2241"/>
        <w:gridCol w:w="1684"/>
        <w:gridCol w:w="1583"/>
        <w:gridCol w:w="13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3" w:hRule="atLeast"/>
          <w:jc w:val="center"/>
        </w:trPr>
        <w:tc>
          <w:tcPr>
            <w:tcW w:w="2314" w:type="pct"/>
            <w:gridSpan w:val="2"/>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计算工况</w:t>
            </w:r>
          </w:p>
        </w:tc>
        <w:tc>
          <w:tcPr>
            <w:tcW w:w="988" w:type="pct"/>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坝坡</w:t>
            </w:r>
          </w:p>
        </w:tc>
        <w:tc>
          <w:tcPr>
            <w:tcW w:w="929" w:type="pct"/>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规范允许值K</w:t>
            </w:r>
          </w:p>
        </w:tc>
        <w:tc>
          <w:tcPr>
            <w:tcW w:w="768" w:type="pct"/>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计算结果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3" w:hRule="atLeast"/>
          <w:jc w:val="center"/>
        </w:trPr>
        <w:tc>
          <w:tcPr>
            <w:tcW w:w="999" w:type="pct"/>
            <w:vMerge w:val="restart"/>
            <w:tcBorders>
              <w:top w:val="nil"/>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正常工作条件</w:t>
            </w:r>
          </w:p>
        </w:tc>
        <w:tc>
          <w:tcPr>
            <w:tcW w:w="1314" w:type="pct"/>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正常蓄水位情况稳定渗流期</w:t>
            </w:r>
          </w:p>
        </w:tc>
        <w:tc>
          <w:tcPr>
            <w:tcW w:w="988" w:type="pct"/>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下游坝坡</w:t>
            </w:r>
          </w:p>
        </w:tc>
        <w:tc>
          <w:tcPr>
            <w:tcW w:w="929" w:type="pct"/>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1</w:t>
            </w:r>
            <w:r>
              <w:rPr>
                <w:rFonts w:hint="eastAsia" w:ascii="Times New Roman" w:hAnsi="Times New Roman" w:eastAsia="宋体" w:cs="Times New Roman"/>
                <w:i w:val="0"/>
                <w:iCs w:val="0"/>
                <w:color w:val="auto"/>
                <w:kern w:val="0"/>
                <w:sz w:val="21"/>
                <w:szCs w:val="21"/>
                <w:highlight w:val="none"/>
                <w:u w:val="none"/>
                <w:lang w:val="en-US" w:eastAsia="zh-CN" w:bidi="ar"/>
              </w:rPr>
              <w:t>.</w:t>
            </w:r>
            <w:r>
              <w:rPr>
                <w:rFonts w:hint="default" w:ascii="Times New Roman" w:hAnsi="Times New Roman" w:eastAsia="宋体" w:cs="Times New Roman"/>
                <w:i w:val="0"/>
                <w:iCs w:val="0"/>
                <w:color w:val="auto"/>
                <w:kern w:val="0"/>
                <w:sz w:val="21"/>
                <w:szCs w:val="21"/>
                <w:highlight w:val="none"/>
                <w:u w:val="none"/>
                <w:lang w:val="en-US" w:eastAsia="zh-CN" w:bidi="ar"/>
              </w:rPr>
              <w:t>25</w:t>
            </w:r>
          </w:p>
        </w:tc>
        <w:tc>
          <w:tcPr>
            <w:tcW w:w="768" w:type="pct"/>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2</w:t>
            </w:r>
            <w:r>
              <w:rPr>
                <w:rFonts w:hint="eastAsia" w:ascii="Times New Roman" w:hAnsi="Times New Roman" w:eastAsia="宋体" w:cs="Times New Roman"/>
                <w:i w:val="0"/>
                <w:iCs w:val="0"/>
                <w:color w:val="auto"/>
                <w:kern w:val="0"/>
                <w:sz w:val="21"/>
                <w:szCs w:val="21"/>
                <w:highlight w:val="none"/>
                <w:u w:val="none"/>
                <w:lang w:val="en-US" w:eastAsia="zh-CN" w:bidi="ar"/>
              </w:rPr>
              <w:t>.</w:t>
            </w:r>
            <w:r>
              <w:rPr>
                <w:rFonts w:hint="default" w:ascii="Times New Roman" w:hAnsi="Times New Roman" w:eastAsia="宋体" w:cs="Times New Roman"/>
                <w:i w:val="0"/>
                <w:iCs w:val="0"/>
                <w:color w:val="auto"/>
                <w:kern w:val="0"/>
                <w:sz w:val="21"/>
                <w:szCs w:val="21"/>
                <w:highlight w:val="none"/>
                <w:u w:val="none"/>
                <w:lang w:val="en-US" w:eastAsia="zh-CN" w:bidi="ar"/>
              </w:rPr>
              <w:t>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3" w:hRule="atLeast"/>
          <w:jc w:val="center"/>
        </w:trPr>
        <w:tc>
          <w:tcPr>
            <w:tcW w:w="999" w:type="pct"/>
            <w:vMerge w:val="continue"/>
            <w:tcBorders>
              <w:top w:val="nil"/>
              <w:left w:val="single" w:color="000000" w:sz="8" w:space="0"/>
              <w:bottom w:val="single" w:color="000000" w:sz="8" w:space="0"/>
              <w:right w:val="single" w:color="000000" w:sz="8" w:space="0"/>
            </w:tcBorders>
            <w:noWrap w:val="0"/>
            <w:vAlign w:val="center"/>
          </w:tcPr>
          <w:p>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p>
        </w:tc>
        <w:tc>
          <w:tcPr>
            <w:tcW w:w="1314" w:type="pct"/>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设计洪水位情况稳定渗流期</w:t>
            </w:r>
          </w:p>
        </w:tc>
        <w:tc>
          <w:tcPr>
            <w:tcW w:w="988" w:type="pct"/>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下游坝坡</w:t>
            </w:r>
          </w:p>
        </w:tc>
        <w:tc>
          <w:tcPr>
            <w:tcW w:w="929" w:type="pct"/>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1</w:t>
            </w:r>
            <w:r>
              <w:rPr>
                <w:rFonts w:hint="eastAsia" w:ascii="Times New Roman" w:hAnsi="Times New Roman" w:eastAsia="宋体" w:cs="Times New Roman"/>
                <w:i w:val="0"/>
                <w:iCs w:val="0"/>
                <w:color w:val="auto"/>
                <w:kern w:val="0"/>
                <w:sz w:val="21"/>
                <w:szCs w:val="21"/>
                <w:highlight w:val="none"/>
                <w:u w:val="none"/>
                <w:lang w:val="en-US" w:eastAsia="zh-CN" w:bidi="ar"/>
              </w:rPr>
              <w:t>.</w:t>
            </w:r>
            <w:r>
              <w:rPr>
                <w:rFonts w:hint="default" w:ascii="Times New Roman" w:hAnsi="Times New Roman" w:eastAsia="宋体" w:cs="Times New Roman"/>
                <w:i w:val="0"/>
                <w:iCs w:val="0"/>
                <w:color w:val="auto"/>
                <w:kern w:val="0"/>
                <w:sz w:val="21"/>
                <w:szCs w:val="21"/>
                <w:highlight w:val="none"/>
                <w:u w:val="none"/>
                <w:lang w:val="en-US" w:eastAsia="zh-CN" w:bidi="ar"/>
              </w:rPr>
              <w:t>25</w:t>
            </w:r>
          </w:p>
        </w:tc>
        <w:tc>
          <w:tcPr>
            <w:tcW w:w="768" w:type="pct"/>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3" w:hRule="atLeast"/>
          <w:jc w:val="center"/>
        </w:trPr>
        <w:tc>
          <w:tcPr>
            <w:tcW w:w="999" w:type="pct"/>
            <w:vMerge w:val="continue"/>
            <w:tcBorders>
              <w:top w:val="nil"/>
              <w:left w:val="single" w:color="000000" w:sz="8" w:space="0"/>
              <w:bottom w:val="single" w:color="000000" w:sz="8" w:space="0"/>
              <w:right w:val="single" w:color="000000" w:sz="8" w:space="0"/>
            </w:tcBorders>
            <w:noWrap w:val="0"/>
            <w:vAlign w:val="center"/>
          </w:tcPr>
          <w:p>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p>
        </w:tc>
        <w:tc>
          <w:tcPr>
            <w:tcW w:w="1314" w:type="pct"/>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设计洪水位降至死水位</w:t>
            </w:r>
          </w:p>
        </w:tc>
        <w:tc>
          <w:tcPr>
            <w:tcW w:w="988" w:type="pct"/>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下游坝坡</w:t>
            </w:r>
          </w:p>
        </w:tc>
        <w:tc>
          <w:tcPr>
            <w:tcW w:w="929" w:type="pct"/>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1</w:t>
            </w:r>
            <w:r>
              <w:rPr>
                <w:rFonts w:hint="eastAsia" w:ascii="Times New Roman" w:hAnsi="Times New Roman" w:eastAsia="宋体" w:cs="Times New Roman"/>
                <w:i w:val="0"/>
                <w:iCs w:val="0"/>
                <w:color w:val="auto"/>
                <w:kern w:val="0"/>
                <w:sz w:val="21"/>
                <w:szCs w:val="21"/>
                <w:highlight w:val="none"/>
                <w:u w:val="none"/>
                <w:lang w:val="en-US" w:eastAsia="zh-CN" w:bidi="ar"/>
              </w:rPr>
              <w:t>.</w:t>
            </w:r>
            <w:r>
              <w:rPr>
                <w:rFonts w:hint="default" w:ascii="Times New Roman" w:hAnsi="Times New Roman" w:eastAsia="宋体" w:cs="Times New Roman"/>
                <w:i w:val="0"/>
                <w:iCs w:val="0"/>
                <w:color w:val="auto"/>
                <w:kern w:val="0"/>
                <w:sz w:val="21"/>
                <w:szCs w:val="21"/>
                <w:highlight w:val="none"/>
                <w:u w:val="none"/>
                <w:lang w:val="en-US" w:eastAsia="zh-CN" w:bidi="ar"/>
              </w:rPr>
              <w:t>25</w:t>
            </w:r>
          </w:p>
        </w:tc>
        <w:tc>
          <w:tcPr>
            <w:tcW w:w="768" w:type="pct"/>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2</w:t>
            </w:r>
            <w:r>
              <w:rPr>
                <w:rFonts w:hint="eastAsia" w:ascii="Times New Roman" w:hAnsi="Times New Roman" w:eastAsia="宋体" w:cs="Times New Roman"/>
                <w:i w:val="0"/>
                <w:iCs w:val="0"/>
                <w:color w:val="auto"/>
                <w:kern w:val="0"/>
                <w:sz w:val="21"/>
                <w:szCs w:val="21"/>
                <w:highlight w:val="none"/>
                <w:u w:val="none"/>
                <w:lang w:val="en-US" w:eastAsia="zh-CN" w:bidi="ar"/>
              </w:rPr>
              <w:t>.</w:t>
            </w:r>
            <w:r>
              <w:rPr>
                <w:rFonts w:hint="default" w:ascii="Times New Roman" w:hAnsi="Times New Roman" w:eastAsia="宋体" w:cs="Times New Roman"/>
                <w:i w:val="0"/>
                <w:iCs w:val="0"/>
                <w:color w:val="auto"/>
                <w:kern w:val="0"/>
                <w:sz w:val="21"/>
                <w:szCs w:val="21"/>
                <w:highlight w:val="none"/>
                <w:u w:val="none"/>
                <w:lang w:val="en-US" w:eastAsia="zh-CN" w:bidi="ar"/>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3" w:hRule="atLeast"/>
          <w:jc w:val="center"/>
        </w:trPr>
        <w:tc>
          <w:tcPr>
            <w:tcW w:w="999" w:type="pct"/>
            <w:vMerge w:val="restart"/>
            <w:tcBorders>
              <w:top w:val="nil"/>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非常工作条件Ⅰ</w:t>
            </w:r>
          </w:p>
        </w:tc>
        <w:tc>
          <w:tcPr>
            <w:tcW w:w="1314" w:type="pct"/>
            <w:vMerge w:val="restart"/>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施工期(死水位情况)稳定渗流期</w:t>
            </w:r>
          </w:p>
        </w:tc>
        <w:tc>
          <w:tcPr>
            <w:tcW w:w="988" w:type="pct"/>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上游坝坡</w:t>
            </w:r>
          </w:p>
        </w:tc>
        <w:tc>
          <w:tcPr>
            <w:tcW w:w="929" w:type="pct"/>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1</w:t>
            </w:r>
            <w:r>
              <w:rPr>
                <w:rFonts w:hint="eastAsia" w:ascii="Times New Roman" w:hAnsi="Times New Roman" w:eastAsia="宋体" w:cs="Times New Roman"/>
                <w:i w:val="0"/>
                <w:iCs w:val="0"/>
                <w:color w:val="auto"/>
                <w:kern w:val="0"/>
                <w:sz w:val="21"/>
                <w:szCs w:val="21"/>
                <w:highlight w:val="none"/>
                <w:u w:val="none"/>
                <w:lang w:val="en-US" w:eastAsia="zh-CN" w:bidi="ar"/>
              </w:rPr>
              <w:t>.</w:t>
            </w:r>
            <w:r>
              <w:rPr>
                <w:rFonts w:hint="default" w:ascii="Times New Roman" w:hAnsi="Times New Roman" w:eastAsia="宋体" w:cs="Times New Roman"/>
                <w:i w:val="0"/>
                <w:iCs w:val="0"/>
                <w:color w:val="auto"/>
                <w:kern w:val="0"/>
                <w:sz w:val="21"/>
                <w:szCs w:val="21"/>
                <w:highlight w:val="none"/>
                <w:u w:val="none"/>
                <w:lang w:val="en-US" w:eastAsia="zh-CN" w:bidi="ar"/>
              </w:rPr>
              <w:t>25</w:t>
            </w:r>
          </w:p>
        </w:tc>
        <w:tc>
          <w:tcPr>
            <w:tcW w:w="768" w:type="pct"/>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1</w:t>
            </w:r>
            <w:r>
              <w:rPr>
                <w:rFonts w:hint="eastAsia" w:ascii="Times New Roman" w:hAnsi="Times New Roman" w:eastAsia="宋体" w:cs="Times New Roman"/>
                <w:i w:val="0"/>
                <w:iCs w:val="0"/>
                <w:color w:val="auto"/>
                <w:kern w:val="0"/>
                <w:sz w:val="21"/>
                <w:szCs w:val="21"/>
                <w:highlight w:val="none"/>
                <w:u w:val="none"/>
                <w:lang w:val="en-US" w:eastAsia="zh-CN" w:bidi="ar"/>
              </w:rPr>
              <w:t>.</w:t>
            </w:r>
            <w:r>
              <w:rPr>
                <w:rFonts w:hint="default" w:ascii="Times New Roman" w:hAnsi="Times New Roman" w:eastAsia="宋体" w:cs="Times New Roman"/>
                <w:i w:val="0"/>
                <w:iCs w:val="0"/>
                <w:color w:val="auto"/>
                <w:kern w:val="0"/>
                <w:sz w:val="21"/>
                <w:szCs w:val="21"/>
                <w:highlight w:val="none"/>
                <w:u w:val="none"/>
                <w:lang w:val="en-US" w:eastAsia="zh-CN" w:bidi="ar"/>
              </w:rPr>
              <w:t>84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3" w:hRule="atLeast"/>
          <w:jc w:val="center"/>
        </w:trPr>
        <w:tc>
          <w:tcPr>
            <w:tcW w:w="999" w:type="pct"/>
            <w:vMerge w:val="continue"/>
            <w:tcBorders>
              <w:top w:val="nil"/>
              <w:left w:val="single" w:color="000000" w:sz="8" w:space="0"/>
              <w:bottom w:val="single" w:color="000000" w:sz="8" w:space="0"/>
              <w:right w:val="single" w:color="000000" w:sz="8" w:space="0"/>
            </w:tcBorders>
            <w:noWrap w:val="0"/>
            <w:vAlign w:val="center"/>
          </w:tcPr>
          <w:p>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p>
        </w:tc>
        <w:tc>
          <w:tcPr>
            <w:tcW w:w="1314" w:type="pct"/>
            <w:vMerge w:val="continue"/>
            <w:tcBorders>
              <w:top w:val="nil"/>
              <w:left w:val="nil"/>
              <w:bottom w:val="single" w:color="000000" w:sz="8" w:space="0"/>
              <w:right w:val="single" w:color="000000" w:sz="8" w:space="0"/>
            </w:tcBorders>
            <w:noWrap w:val="0"/>
            <w:vAlign w:val="center"/>
          </w:tcPr>
          <w:p>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p>
        </w:tc>
        <w:tc>
          <w:tcPr>
            <w:tcW w:w="988" w:type="pct"/>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下游坝坡</w:t>
            </w:r>
          </w:p>
        </w:tc>
        <w:tc>
          <w:tcPr>
            <w:tcW w:w="929" w:type="pct"/>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1</w:t>
            </w:r>
            <w:r>
              <w:rPr>
                <w:rFonts w:hint="eastAsia" w:ascii="Times New Roman" w:hAnsi="Times New Roman" w:eastAsia="宋体" w:cs="Times New Roman"/>
                <w:i w:val="0"/>
                <w:iCs w:val="0"/>
                <w:color w:val="auto"/>
                <w:kern w:val="0"/>
                <w:sz w:val="21"/>
                <w:szCs w:val="21"/>
                <w:highlight w:val="none"/>
                <w:u w:val="none"/>
                <w:lang w:val="en-US" w:eastAsia="zh-CN" w:bidi="ar"/>
              </w:rPr>
              <w:t>.</w:t>
            </w:r>
            <w:r>
              <w:rPr>
                <w:rFonts w:hint="default" w:ascii="Times New Roman" w:hAnsi="Times New Roman" w:eastAsia="宋体" w:cs="Times New Roman"/>
                <w:i w:val="0"/>
                <w:iCs w:val="0"/>
                <w:color w:val="auto"/>
                <w:kern w:val="0"/>
                <w:sz w:val="21"/>
                <w:szCs w:val="21"/>
                <w:highlight w:val="none"/>
                <w:u w:val="none"/>
                <w:lang w:val="en-US" w:eastAsia="zh-CN" w:bidi="ar"/>
              </w:rPr>
              <w:t>25</w:t>
            </w:r>
          </w:p>
        </w:tc>
        <w:tc>
          <w:tcPr>
            <w:tcW w:w="768" w:type="pct"/>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2</w:t>
            </w:r>
            <w:r>
              <w:rPr>
                <w:rFonts w:hint="eastAsia" w:ascii="Times New Roman" w:hAnsi="Times New Roman" w:eastAsia="宋体" w:cs="Times New Roman"/>
                <w:i w:val="0"/>
                <w:iCs w:val="0"/>
                <w:color w:val="auto"/>
                <w:kern w:val="0"/>
                <w:sz w:val="21"/>
                <w:szCs w:val="21"/>
                <w:highlight w:val="none"/>
                <w:u w:val="none"/>
                <w:lang w:val="en-US" w:eastAsia="zh-CN" w:bidi="ar"/>
              </w:rPr>
              <w:t>.</w:t>
            </w:r>
            <w:r>
              <w:rPr>
                <w:rFonts w:hint="default" w:ascii="Times New Roman" w:hAnsi="Times New Roman" w:eastAsia="宋体" w:cs="Times New Roman"/>
                <w:i w:val="0"/>
                <w:iCs w:val="0"/>
                <w:color w:val="auto"/>
                <w:kern w:val="0"/>
                <w:sz w:val="21"/>
                <w:szCs w:val="21"/>
                <w:highlight w:val="none"/>
                <w:u w:val="none"/>
                <w:lang w:val="en-US" w:eastAsia="zh-CN" w:bidi="ar"/>
              </w:rPr>
              <w:t>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3" w:hRule="atLeast"/>
          <w:jc w:val="center"/>
        </w:trPr>
        <w:tc>
          <w:tcPr>
            <w:tcW w:w="999" w:type="pct"/>
            <w:vMerge w:val="continue"/>
            <w:tcBorders>
              <w:top w:val="nil"/>
              <w:left w:val="single" w:color="000000" w:sz="8" w:space="0"/>
              <w:bottom w:val="single" w:color="000000" w:sz="8" w:space="0"/>
              <w:right w:val="single" w:color="000000" w:sz="8" w:space="0"/>
            </w:tcBorders>
            <w:noWrap w:val="0"/>
            <w:vAlign w:val="center"/>
          </w:tcPr>
          <w:p>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p>
        </w:tc>
        <w:tc>
          <w:tcPr>
            <w:tcW w:w="1314" w:type="pct"/>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校核洪水位情况稳定渗流期</w:t>
            </w:r>
          </w:p>
        </w:tc>
        <w:tc>
          <w:tcPr>
            <w:tcW w:w="988" w:type="pct"/>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下游坝坡</w:t>
            </w:r>
          </w:p>
        </w:tc>
        <w:tc>
          <w:tcPr>
            <w:tcW w:w="929" w:type="pct"/>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1</w:t>
            </w:r>
            <w:r>
              <w:rPr>
                <w:rFonts w:hint="eastAsia" w:ascii="Times New Roman" w:hAnsi="Times New Roman" w:eastAsia="宋体" w:cs="Times New Roman"/>
                <w:i w:val="0"/>
                <w:iCs w:val="0"/>
                <w:color w:val="auto"/>
                <w:kern w:val="0"/>
                <w:sz w:val="21"/>
                <w:szCs w:val="21"/>
                <w:highlight w:val="none"/>
                <w:u w:val="none"/>
                <w:lang w:val="en-US" w:eastAsia="zh-CN" w:bidi="ar"/>
              </w:rPr>
              <w:t>.</w:t>
            </w:r>
            <w:r>
              <w:rPr>
                <w:rFonts w:hint="default" w:ascii="Times New Roman" w:hAnsi="Times New Roman" w:eastAsia="宋体" w:cs="Times New Roman"/>
                <w:i w:val="0"/>
                <w:iCs w:val="0"/>
                <w:color w:val="auto"/>
                <w:kern w:val="0"/>
                <w:sz w:val="21"/>
                <w:szCs w:val="21"/>
                <w:highlight w:val="none"/>
                <w:u w:val="none"/>
                <w:lang w:val="en-US" w:eastAsia="zh-CN" w:bidi="ar"/>
              </w:rPr>
              <w:t>15</w:t>
            </w:r>
          </w:p>
        </w:tc>
        <w:tc>
          <w:tcPr>
            <w:tcW w:w="768" w:type="pct"/>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1</w:t>
            </w:r>
            <w:r>
              <w:rPr>
                <w:rFonts w:hint="eastAsia" w:ascii="Times New Roman" w:hAnsi="Times New Roman" w:eastAsia="宋体" w:cs="Times New Roman"/>
                <w:i w:val="0"/>
                <w:iCs w:val="0"/>
                <w:color w:val="auto"/>
                <w:kern w:val="0"/>
                <w:sz w:val="21"/>
                <w:szCs w:val="21"/>
                <w:highlight w:val="none"/>
                <w:u w:val="none"/>
                <w:lang w:val="en-US" w:eastAsia="zh-CN" w:bidi="ar"/>
              </w:rPr>
              <w:t>.</w:t>
            </w:r>
            <w:r>
              <w:rPr>
                <w:rFonts w:hint="default" w:ascii="Times New Roman" w:hAnsi="Times New Roman" w:eastAsia="宋体" w:cs="Times New Roman"/>
                <w:i w:val="0"/>
                <w:iCs w:val="0"/>
                <w:color w:val="auto"/>
                <w:kern w:val="0"/>
                <w:sz w:val="21"/>
                <w:szCs w:val="21"/>
                <w:highlight w:val="none"/>
                <w:u w:val="none"/>
                <w:lang w:val="en-US" w:eastAsia="zh-CN" w:bidi="ar"/>
              </w:rPr>
              <w:t>99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3" w:hRule="atLeast"/>
          <w:jc w:val="center"/>
        </w:trPr>
        <w:tc>
          <w:tcPr>
            <w:tcW w:w="999" w:type="pct"/>
            <w:vMerge w:val="continue"/>
            <w:tcBorders>
              <w:top w:val="nil"/>
              <w:left w:val="single" w:color="000000" w:sz="8" w:space="0"/>
              <w:bottom w:val="single" w:color="000000" w:sz="8" w:space="0"/>
              <w:right w:val="single" w:color="000000" w:sz="8" w:space="0"/>
            </w:tcBorders>
            <w:noWrap w:val="0"/>
            <w:vAlign w:val="center"/>
          </w:tcPr>
          <w:p>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p>
        </w:tc>
        <w:tc>
          <w:tcPr>
            <w:tcW w:w="1314" w:type="pct"/>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校核洪水位降至死水位</w:t>
            </w:r>
          </w:p>
        </w:tc>
        <w:tc>
          <w:tcPr>
            <w:tcW w:w="988" w:type="pct"/>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下游坝坡</w:t>
            </w:r>
          </w:p>
        </w:tc>
        <w:tc>
          <w:tcPr>
            <w:tcW w:w="929" w:type="pct"/>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1</w:t>
            </w:r>
            <w:r>
              <w:rPr>
                <w:rFonts w:hint="eastAsia" w:ascii="Times New Roman" w:hAnsi="Times New Roman" w:eastAsia="宋体" w:cs="Times New Roman"/>
                <w:i w:val="0"/>
                <w:iCs w:val="0"/>
                <w:color w:val="auto"/>
                <w:kern w:val="0"/>
                <w:sz w:val="21"/>
                <w:szCs w:val="21"/>
                <w:highlight w:val="none"/>
                <w:u w:val="none"/>
                <w:lang w:val="en-US" w:eastAsia="zh-CN" w:bidi="ar"/>
              </w:rPr>
              <w:t>.</w:t>
            </w:r>
            <w:r>
              <w:rPr>
                <w:rFonts w:hint="default" w:ascii="Times New Roman" w:hAnsi="Times New Roman" w:eastAsia="宋体" w:cs="Times New Roman"/>
                <w:i w:val="0"/>
                <w:iCs w:val="0"/>
                <w:color w:val="auto"/>
                <w:kern w:val="0"/>
                <w:sz w:val="21"/>
                <w:szCs w:val="21"/>
                <w:highlight w:val="none"/>
                <w:u w:val="none"/>
                <w:lang w:val="en-US" w:eastAsia="zh-CN" w:bidi="ar"/>
              </w:rPr>
              <w:t>15</w:t>
            </w:r>
          </w:p>
        </w:tc>
        <w:tc>
          <w:tcPr>
            <w:tcW w:w="768" w:type="pct"/>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2</w:t>
            </w:r>
            <w:r>
              <w:rPr>
                <w:rFonts w:hint="eastAsia" w:ascii="Times New Roman" w:hAnsi="Times New Roman" w:eastAsia="宋体" w:cs="Times New Roman"/>
                <w:i w:val="0"/>
                <w:iCs w:val="0"/>
                <w:color w:val="auto"/>
                <w:kern w:val="0"/>
                <w:sz w:val="21"/>
                <w:szCs w:val="21"/>
                <w:highlight w:val="none"/>
                <w:u w:val="none"/>
                <w:lang w:val="en-US" w:eastAsia="zh-CN" w:bidi="ar"/>
              </w:rPr>
              <w:t>.</w:t>
            </w:r>
            <w:r>
              <w:rPr>
                <w:rFonts w:hint="default" w:ascii="Times New Roman" w:hAnsi="Times New Roman" w:eastAsia="宋体" w:cs="Times New Roman"/>
                <w:i w:val="0"/>
                <w:iCs w:val="0"/>
                <w:color w:val="auto"/>
                <w:kern w:val="0"/>
                <w:sz w:val="21"/>
                <w:szCs w:val="21"/>
                <w:highlight w:val="none"/>
                <w:u w:val="none"/>
                <w:lang w:val="en-US" w:eastAsia="zh-CN" w:bidi="ar"/>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3" w:hRule="atLeast"/>
          <w:jc w:val="center"/>
        </w:trPr>
        <w:tc>
          <w:tcPr>
            <w:tcW w:w="999" w:type="pct"/>
            <w:vMerge w:val="restart"/>
            <w:tcBorders>
              <w:top w:val="nil"/>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非常工作条件Ⅱ</w:t>
            </w:r>
          </w:p>
        </w:tc>
        <w:tc>
          <w:tcPr>
            <w:tcW w:w="1314" w:type="pct"/>
            <w:vMerge w:val="restart"/>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水库水位为正常蓄水位遇Ⅶ度地震的情况</w:t>
            </w:r>
          </w:p>
        </w:tc>
        <w:tc>
          <w:tcPr>
            <w:tcW w:w="988" w:type="pct"/>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上游坝坡</w:t>
            </w:r>
          </w:p>
        </w:tc>
        <w:tc>
          <w:tcPr>
            <w:tcW w:w="929" w:type="pct"/>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1</w:t>
            </w:r>
            <w:r>
              <w:rPr>
                <w:rFonts w:hint="eastAsia" w:ascii="Times New Roman" w:hAnsi="Times New Roman" w:eastAsia="宋体" w:cs="Times New Roman"/>
                <w:i w:val="0"/>
                <w:iCs w:val="0"/>
                <w:color w:val="auto"/>
                <w:kern w:val="0"/>
                <w:sz w:val="21"/>
                <w:szCs w:val="21"/>
                <w:highlight w:val="none"/>
                <w:u w:val="none"/>
                <w:lang w:val="en-US" w:eastAsia="zh-CN" w:bidi="ar"/>
              </w:rPr>
              <w:t>.</w:t>
            </w:r>
            <w:r>
              <w:rPr>
                <w:rFonts w:hint="default" w:ascii="Times New Roman" w:hAnsi="Times New Roman" w:eastAsia="宋体" w:cs="Times New Roman"/>
                <w:i w:val="0"/>
                <w:iCs w:val="0"/>
                <w:color w:val="auto"/>
                <w:kern w:val="0"/>
                <w:sz w:val="21"/>
                <w:szCs w:val="21"/>
                <w:highlight w:val="none"/>
                <w:u w:val="none"/>
                <w:lang w:val="en-US" w:eastAsia="zh-CN" w:bidi="ar"/>
              </w:rPr>
              <w:t>1</w:t>
            </w:r>
          </w:p>
        </w:tc>
        <w:tc>
          <w:tcPr>
            <w:tcW w:w="768" w:type="pct"/>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1</w:t>
            </w:r>
            <w:r>
              <w:rPr>
                <w:rFonts w:hint="eastAsia" w:ascii="Times New Roman" w:hAnsi="Times New Roman" w:eastAsia="宋体" w:cs="Times New Roman"/>
                <w:i w:val="0"/>
                <w:iCs w:val="0"/>
                <w:color w:val="auto"/>
                <w:kern w:val="0"/>
                <w:sz w:val="21"/>
                <w:szCs w:val="21"/>
                <w:highlight w:val="none"/>
                <w:u w:val="none"/>
                <w:lang w:val="en-US" w:eastAsia="zh-CN" w:bidi="ar"/>
              </w:rPr>
              <w:t>.</w:t>
            </w:r>
            <w:r>
              <w:rPr>
                <w:rFonts w:hint="default" w:ascii="Times New Roman" w:hAnsi="Times New Roman" w:eastAsia="宋体" w:cs="Times New Roman"/>
                <w:i w:val="0"/>
                <w:iCs w:val="0"/>
                <w:color w:val="auto"/>
                <w:kern w:val="0"/>
                <w:sz w:val="21"/>
                <w:szCs w:val="21"/>
                <w:highlight w:val="none"/>
                <w:u w:val="none"/>
                <w:lang w:val="en-US" w:eastAsia="zh-CN" w:bidi="ar"/>
              </w:rPr>
              <w:t>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3" w:hRule="atLeast"/>
          <w:jc w:val="center"/>
        </w:trPr>
        <w:tc>
          <w:tcPr>
            <w:tcW w:w="999" w:type="pct"/>
            <w:vMerge w:val="continue"/>
            <w:tcBorders>
              <w:top w:val="nil"/>
              <w:left w:val="single" w:color="000000" w:sz="8" w:space="0"/>
              <w:bottom w:val="single" w:color="000000" w:sz="8" w:space="0"/>
              <w:right w:val="single" w:color="000000" w:sz="8" w:space="0"/>
            </w:tcBorders>
            <w:noWrap w:val="0"/>
            <w:vAlign w:val="center"/>
          </w:tcPr>
          <w:p>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p>
        </w:tc>
        <w:tc>
          <w:tcPr>
            <w:tcW w:w="1314" w:type="pct"/>
            <w:vMerge w:val="continue"/>
            <w:tcBorders>
              <w:top w:val="nil"/>
              <w:left w:val="nil"/>
              <w:bottom w:val="single" w:color="000000" w:sz="8" w:space="0"/>
              <w:right w:val="single" w:color="000000" w:sz="8" w:space="0"/>
            </w:tcBorders>
            <w:noWrap w:val="0"/>
            <w:vAlign w:val="center"/>
          </w:tcPr>
          <w:p>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auto"/>
                <w:sz w:val="21"/>
                <w:szCs w:val="21"/>
                <w:highlight w:val="none"/>
                <w:u w:val="none"/>
              </w:rPr>
            </w:pPr>
          </w:p>
        </w:tc>
        <w:tc>
          <w:tcPr>
            <w:tcW w:w="988" w:type="pct"/>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下游坝坡</w:t>
            </w:r>
          </w:p>
        </w:tc>
        <w:tc>
          <w:tcPr>
            <w:tcW w:w="929" w:type="pct"/>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1</w:t>
            </w:r>
            <w:r>
              <w:rPr>
                <w:rFonts w:hint="eastAsia" w:ascii="Times New Roman" w:hAnsi="Times New Roman" w:eastAsia="宋体" w:cs="Times New Roman"/>
                <w:i w:val="0"/>
                <w:iCs w:val="0"/>
                <w:color w:val="auto"/>
                <w:kern w:val="0"/>
                <w:sz w:val="21"/>
                <w:szCs w:val="21"/>
                <w:highlight w:val="none"/>
                <w:u w:val="none"/>
                <w:lang w:val="en-US" w:eastAsia="zh-CN" w:bidi="ar"/>
              </w:rPr>
              <w:t>.</w:t>
            </w:r>
            <w:r>
              <w:rPr>
                <w:rFonts w:hint="default" w:ascii="Times New Roman" w:hAnsi="Times New Roman" w:eastAsia="宋体" w:cs="Times New Roman"/>
                <w:i w:val="0"/>
                <w:iCs w:val="0"/>
                <w:color w:val="auto"/>
                <w:kern w:val="0"/>
                <w:sz w:val="21"/>
                <w:szCs w:val="21"/>
                <w:highlight w:val="none"/>
                <w:u w:val="none"/>
                <w:lang w:val="en-US" w:eastAsia="zh-CN" w:bidi="ar"/>
              </w:rPr>
              <w:t>1</w:t>
            </w:r>
          </w:p>
        </w:tc>
        <w:tc>
          <w:tcPr>
            <w:tcW w:w="768" w:type="pct"/>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1</w:t>
            </w:r>
            <w:r>
              <w:rPr>
                <w:rFonts w:hint="eastAsia" w:ascii="Times New Roman" w:hAnsi="Times New Roman" w:eastAsia="宋体" w:cs="Times New Roman"/>
                <w:i w:val="0"/>
                <w:iCs w:val="0"/>
                <w:color w:val="auto"/>
                <w:kern w:val="0"/>
                <w:sz w:val="21"/>
                <w:szCs w:val="21"/>
                <w:highlight w:val="none"/>
                <w:u w:val="none"/>
                <w:lang w:val="en-US" w:eastAsia="zh-CN" w:bidi="ar"/>
              </w:rPr>
              <w:t>.</w:t>
            </w:r>
            <w:r>
              <w:rPr>
                <w:rFonts w:hint="default" w:ascii="Times New Roman" w:hAnsi="Times New Roman" w:eastAsia="宋体" w:cs="Times New Roman"/>
                <w:i w:val="0"/>
                <w:iCs w:val="0"/>
                <w:color w:val="auto"/>
                <w:kern w:val="0"/>
                <w:sz w:val="21"/>
                <w:szCs w:val="21"/>
                <w:highlight w:val="none"/>
                <w:u w:val="none"/>
                <w:lang w:val="en-US" w:eastAsia="zh-CN" w:bidi="ar"/>
              </w:rPr>
              <w:t>74</w:t>
            </w:r>
          </w:p>
        </w:tc>
      </w:tr>
    </w:tbl>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rPr>
          <w:rFonts w:hint="eastAsia" w:ascii="Times New Roman" w:hAnsi="Times New Roman" w:eastAsia="宋体" w:cs="Times New Roman"/>
          <w:color w:val="auto"/>
          <w:kern w:val="2"/>
          <w:sz w:val="24"/>
          <w:szCs w:val="24"/>
          <w:highlight w:val="none"/>
          <w:lang w:val="en-US" w:eastAsia="zh-CN" w:bidi="ar-SA"/>
        </w:rPr>
      </w:pPr>
      <w:r>
        <w:rPr>
          <w:rFonts w:hint="eastAsia" w:ascii="Times New Roman" w:hAnsi="Times New Roman" w:eastAsia="宋体" w:cs="Times New Roman"/>
          <w:color w:val="auto"/>
          <w:kern w:val="2"/>
          <w:sz w:val="24"/>
          <w:szCs w:val="24"/>
          <w:highlight w:val="none"/>
          <w:lang w:val="en-US" w:eastAsia="zh-CN" w:bidi="ar-SA"/>
        </w:rPr>
        <w:t>3.不同工况下大坝抗滑稳定安全系数</w:t>
      </w:r>
    </w:p>
    <w:tbl>
      <w:tblPr>
        <w:tblStyle w:val="23"/>
        <w:tblW w:w="85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7"/>
        <w:gridCol w:w="1367"/>
        <w:gridCol w:w="1276"/>
        <w:gridCol w:w="1064"/>
        <w:gridCol w:w="1162"/>
        <w:gridCol w:w="891"/>
        <w:gridCol w:w="15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Borders>
              <w:top w:val="single" w:color="auto" w:sz="4" w:space="0"/>
              <w:left w:val="single" w:color="auto" w:sz="4" w:space="0"/>
              <w:bottom w:val="single" w:color="auto" w:sz="4" w:space="0"/>
              <w:right w:val="single" w:color="auto" w:sz="4" w:space="0"/>
            </w:tcBorders>
            <w:noWrap w:val="0"/>
            <w:vAlign w:val="center"/>
          </w:tcPr>
          <w:p>
            <w:pPr>
              <w:widowControl w:val="0"/>
              <w:spacing w:line="240" w:lineRule="auto"/>
              <w:ind w:firstLine="0" w:firstLineChars="0"/>
              <w:jc w:val="center"/>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工况一</w:t>
            </w:r>
          </w:p>
        </w:tc>
        <w:tc>
          <w:tcPr>
            <w:tcW w:w="1367" w:type="dxa"/>
            <w:tcBorders>
              <w:top w:val="single" w:color="auto" w:sz="4" w:space="0"/>
              <w:left w:val="single" w:color="auto" w:sz="4" w:space="0"/>
              <w:bottom w:val="single" w:color="auto" w:sz="4" w:space="0"/>
              <w:right w:val="single" w:color="auto" w:sz="4" w:space="0"/>
            </w:tcBorders>
            <w:noWrap w:val="0"/>
            <w:vAlign w:val="center"/>
          </w:tcPr>
          <w:p>
            <w:pPr>
              <w:widowControl w:val="0"/>
              <w:spacing w:line="240" w:lineRule="auto"/>
              <w:ind w:firstLine="0" w:firstLineChars="0"/>
              <w:jc w:val="center"/>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正常运行期</w:t>
            </w:r>
          </w:p>
        </w:tc>
        <w:tc>
          <w:tcPr>
            <w:tcW w:w="1276" w:type="dxa"/>
            <w:tcBorders>
              <w:top w:val="single" w:color="auto" w:sz="4" w:space="0"/>
              <w:left w:val="single" w:color="auto" w:sz="4" w:space="0"/>
              <w:bottom w:val="single" w:color="auto" w:sz="4" w:space="0"/>
              <w:right w:val="single" w:color="auto" w:sz="4" w:space="0"/>
            </w:tcBorders>
            <w:noWrap w:val="0"/>
            <w:vAlign w:val="center"/>
          </w:tcPr>
          <w:p>
            <w:pPr>
              <w:widowControl w:val="0"/>
              <w:spacing w:line="240" w:lineRule="auto"/>
              <w:ind w:firstLine="0" w:firstLineChars="0"/>
              <w:jc w:val="center"/>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有效应力法</w:t>
            </w:r>
          </w:p>
        </w:tc>
        <w:tc>
          <w:tcPr>
            <w:tcW w:w="1064" w:type="dxa"/>
            <w:tcBorders>
              <w:top w:val="single" w:color="auto" w:sz="4" w:space="0"/>
              <w:left w:val="single" w:color="auto" w:sz="4" w:space="0"/>
              <w:bottom w:val="single" w:color="auto" w:sz="4" w:space="0"/>
              <w:right w:val="single" w:color="auto" w:sz="4" w:space="0"/>
            </w:tcBorders>
            <w:noWrap w:val="0"/>
            <w:vAlign w:val="center"/>
          </w:tcPr>
          <w:p>
            <w:pPr>
              <w:widowControl w:val="0"/>
              <w:spacing w:line="240" w:lineRule="auto"/>
              <w:ind w:firstLine="0" w:firstLineChars="0"/>
              <w:jc w:val="center"/>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(水位线)</w:t>
            </w:r>
          </w:p>
          <w:p>
            <w:pPr>
              <w:widowControl w:val="0"/>
              <w:spacing w:line="240" w:lineRule="auto"/>
              <w:ind w:firstLine="0" w:firstLineChars="0"/>
              <w:jc w:val="center"/>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正常蓄水位</w:t>
            </w:r>
          </w:p>
        </w:tc>
        <w:tc>
          <w:tcPr>
            <w:tcW w:w="1162" w:type="dxa"/>
            <w:tcBorders>
              <w:top w:val="single" w:color="auto" w:sz="4" w:space="0"/>
              <w:left w:val="single" w:color="auto" w:sz="4" w:space="0"/>
              <w:bottom w:val="single" w:color="auto" w:sz="4" w:space="0"/>
              <w:right w:val="single" w:color="auto" w:sz="4" w:space="0"/>
            </w:tcBorders>
            <w:noWrap w:val="0"/>
            <w:vAlign w:val="center"/>
          </w:tcPr>
          <w:p>
            <w:pPr>
              <w:widowControl w:val="0"/>
              <w:spacing w:line="240" w:lineRule="auto"/>
              <w:ind w:firstLine="0" w:firstLineChars="0"/>
              <w:jc w:val="center"/>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毕肖普法</w:t>
            </w:r>
          </w:p>
        </w:tc>
        <w:tc>
          <w:tcPr>
            <w:tcW w:w="891" w:type="dxa"/>
            <w:tcBorders>
              <w:top w:val="single" w:color="auto" w:sz="4" w:space="0"/>
              <w:left w:val="single" w:color="auto" w:sz="4" w:space="0"/>
              <w:bottom w:val="single" w:color="auto" w:sz="4" w:space="0"/>
              <w:right w:val="single" w:color="auto" w:sz="4" w:space="0"/>
            </w:tcBorders>
            <w:noWrap w:val="0"/>
            <w:vAlign w:val="center"/>
          </w:tcPr>
          <w:p>
            <w:pPr>
              <w:widowControl w:val="0"/>
              <w:spacing w:line="240" w:lineRule="auto"/>
              <w:ind w:firstLine="0" w:firstLineChars="0"/>
              <w:jc w:val="center"/>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0g</w:t>
            </w:r>
          </w:p>
        </w:tc>
        <w:tc>
          <w:tcPr>
            <w:tcW w:w="1588" w:type="dxa"/>
            <w:tcBorders>
              <w:top w:val="single" w:color="auto" w:sz="4" w:space="0"/>
              <w:left w:val="single" w:color="auto" w:sz="4" w:space="0"/>
              <w:bottom w:val="single" w:color="auto" w:sz="4" w:space="0"/>
              <w:right w:val="single" w:color="auto" w:sz="4" w:space="0"/>
            </w:tcBorders>
            <w:noWrap w:val="0"/>
            <w:vAlign w:val="center"/>
          </w:tcPr>
          <w:p>
            <w:pPr>
              <w:widowControl w:val="0"/>
              <w:spacing w:line="240" w:lineRule="auto"/>
              <w:ind w:firstLine="0" w:firstLineChars="0"/>
              <w:jc w:val="center"/>
              <w:rPr>
                <w:rFonts w:hint="eastAsia" w:ascii="Times New Roman" w:hAnsi="Times New Roman" w:eastAsia="宋体" w:cs="宋体"/>
                <w:color w:val="auto"/>
                <w:kern w:val="0"/>
                <w:sz w:val="21"/>
                <w:szCs w:val="21"/>
                <w:highlight w:val="none"/>
                <w:lang w:val="en-US" w:eastAsia="zh-CN" w:bidi="ar"/>
              </w:rPr>
            </w:pPr>
            <w:r>
              <w:rPr>
                <w:rFonts w:hint="eastAsia" w:eastAsia="宋体" w:cs="宋体"/>
                <w:color w:val="auto"/>
                <w:kern w:val="0"/>
                <w:sz w:val="21"/>
                <w:szCs w:val="21"/>
                <w:highlight w:val="none"/>
                <w:lang w:val="en-US" w:eastAsia="zh-CN" w:bidi="ar"/>
              </w:rPr>
              <w:t>2.36504</w:t>
            </w:r>
            <w:r>
              <w:rPr>
                <w:rFonts w:eastAsia="宋体" w:cs="宋体"/>
                <w:color w:val="auto"/>
                <w:kern w:val="0"/>
                <w:sz w:val="21"/>
                <w:szCs w:val="21"/>
                <w:highlight w:val="none"/>
                <w:lang w:bidi="ar"/>
              </w:rPr>
              <w:t>(</w:t>
            </w:r>
            <w:r>
              <w:rPr>
                <w:rFonts w:hint="eastAsia" w:eastAsia="宋体" w:cs="宋体"/>
                <w:color w:val="auto"/>
                <w:kern w:val="0"/>
                <w:sz w:val="21"/>
                <w:szCs w:val="21"/>
                <w:highlight w:val="none"/>
                <w:lang w:bidi="ar"/>
              </w:rPr>
              <w:t>左</w:t>
            </w:r>
            <w:r>
              <w:rPr>
                <w:rFonts w:eastAsia="宋体" w:cs="宋体"/>
                <w:color w:val="auto"/>
                <w:kern w:val="0"/>
                <w:sz w:val="21"/>
                <w:szCs w:val="21"/>
                <w:highlight w:val="none"/>
                <w:lang w:bidi="ar"/>
              </w:rPr>
              <w:t xml:space="preserve">) </w:t>
            </w:r>
            <w:r>
              <w:rPr>
                <w:rFonts w:hint="eastAsia" w:eastAsia="宋体" w:cs="宋体"/>
                <w:color w:val="auto"/>
                <w:kern w:val="0"/>
                <w:sz w:val="21"/>
                <w:szCs w:val="21"/>
                <w:highlight w:val="none"/>
                <w:lang w:val="en-US" w:eastAsia="zh-CN" w:bidi="ar"/>
              </w:rPr>
              <w:t>2.04081</w:t>
            </w:r>
            <w:r>
              <w:rPr>
                <w:rFonts w:eastAsia="宋体" w:cs="宋体"/>
                <w:color w:val="auto"/>
                <w:kern w:val="0"/>
                <w:sz w:val="21"/>
                <w:szCs w:val="21"/>
                <w:highlight w:val="none"/>
                <w:lang w:bidi="ar"/>
              </w:rPr>
              <w:t>(</w:t>
            </w:r>
            <w:r>
              <w:rPr>
                <w:rFonts w:hint="eastAsia" w:eastAsia="宋体" w:cs="宋体"/>
                <w:color w:val="auto"/>
                <w:kern w:val="0"/>
                <w:sz w:val="21"/>
                <w:szCs w:val="21"/>
                <w:highlight w:val="none"/>
                <w:lang w:bidi="ar"/>
              </w:rPr>
              <w:t>右</w:t>
            </w:r>
            <w:r>
              <w:rPr>
                <w:rFonts w:eastAsia="宋体" w:cs="宋体"/>
                <w:color w:val="auto"/>
                <w:kern w:val="0"/>
                <w:sz w:val="21"/>
                <w:szCs w:val="21"/>
                <w:highlight w:val="no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trPr>
        <w:tc>
          <w:tcPr>
            <w:tcW w:w="1217" w:type="dxa"/>
            <w:tcBorders>
              <w:top w:val="single" w:color="auto" w:sz="4" w:space="0"/>
              <w:left w:val="single" w:color="auto" w:sz="4" w:space="0"/>
              <w:bottom w:val="single" w:color="auto" w:sz="4" w:space="0"/>
              <w:right w:val="single" w:color="auto" w:sz="4" w:space="0"/>
            </w:tcBorders>
            <w:noWrap w:val="0"/>
            <w:vAlign w:val="center"/>
          </w:tcPr>
          <w:p>
            <w:pPr>
              <w:widowControl w:val="0"/>
              <w:spacing w:line="240" w:lineRule="auto"/>
              <w:ind w:firstLine="0" w:firstLineChars="0"/>
              <w:jc w:val="center"/>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工况二</w:t>
            </w:r>
          </w:p>
        </w:tc>
        <w:tc>
          <w:tcPr>
            <w:tcW w:w="1367" w:type="dxa"/>
            <w:tcBorders>
              <w:top w:val="single" w:color="auto" w:sz="4" w:space="0"/>
              <w:left w:val="single" w:color="auto" w:sz="4" w:space="0"/>
              <w:bottom w:val="single" w:color="auto" w:sz="4" w:space="0"/>
              <w:right w:val="single" w:color="auto" w:sz="4" w:space="0"/>
            </w:tcBorders>
            <w:noWrap w:val="0"/>
            <w:vAlign w:val="center"/>
          </w:tcPr>
          <w:p>
            <w:pPr>
              <w:widowControl w:val="0"/>
              <w:spacing w:line="240" w:lineRule="auto"/>
              <w:ind w:firstLine="0" w:firstLineChars="0"/>
              <w:jc w:val="center"/>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正常运行期</w:t>
            </w:r>
          </w:p>
        </w:tc>
        <w:tc>
          <w:tcPr>
            <w:tcW w:w="1276" w:type="dxa"/>
            <w:tcBorders>
              <w:top w:val="single" w:color="auto" w:sz="4" w:space="0"/>
              <w:left w:val="single" w:color="auto" w:sz="4" w:space="0"/>
              <w:bottom w:val="single" w:color="auto" w:sz="4" w:space="0"/>
              <w:right w:val="single" w:color="auto" w:sz="4" w:space="0"/>
            </w:tcBorders>
            <w:noWrap w:val="0"/>
            <w:vAlign w:val="center"/>
          </w:tcPr>
          <w:p>
            <w:pPr>
              <w:widowControl w:val="0"/>
              <w:spacing w:line="240" w:lineRule="auto"/>
              <w:ind w:firstLine="0" w:firstLineChars="0"/>
              <w:jc w:val="center"/>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有效应力法</w:t>
            </w:r>
          </w:p>
        </w:tc>
        <w:tc>
          <w:tcPr>
            <w:tcW w:w="1064" w:type="dxa"/>
            <w:tcBorders>
              <w:top w:val="single" w:color="auto" w:sz="4" w:space="0"/>
              <w:left w:val="single" w:color="auto" w:sz="4" w:space="0"/>
              <w:bottom w:val="single" w:color="auto" w:sz="4" w:space="0"/>
              <w:right w:val="single" w:color="auto" w:sz="4" w:space="0"/>
            </w:tcBorders>
            <w:noWrap w:val="0"/>
            <w:vAlign w:val="center"/>
          </w:tcPr>
          <w:p>
            <w:pPr>
              <w:widowControl w:val="0"/>
              <w:spacing w:line="240" w:lineRule="auto"/>
              <w:ind w:firstLine="0" w:firstLineChars="0"/>
              <w:jc w:val="center"/>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(水位线)</w:t>
            </w:r>
          </w:p>
          <w:p>
            <w:pPr>
              <w:widowControl w:val="0"/>
              <w:spacing w:line="240" w:lineRule="auto"/>
              <w:ind w:firstLine="0" w:firstLineChars="0"/>
              <w:jc w:val="center"/>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设计水位</w:t>
            </w:r>
          </w:p>
        </w:tc>
        <w:tc>
          <w:tcPr>
            <w:tcW w:w="1162" w:type="dxa"/>
            <w:tcBorders>
              <w:top w:val="single" w:color="auto" w:sz="4" w:space="0"/>
              <w:left w:val="single" w:color="auto" w:sz="4" w:space="0"/>
              <w:bottom w:val="single" w:color="auto" w:sz="4" w:space="0"/>
              <w:right w:val="single" w:color="auto" w:sz="4" w:space="0"/>
            </w:tcBorders>
            <w:noWrap w:val="0"/>
            <w:vAlign w:val="center"/>
          </w:tcPr>
          <w:p>
            <w:pPr>
              <w:widowControl w:val="0"/>
              <w:spacing w:line="240" w:lineRule="auto"/>
              <w:ind w:firstLine="0" w:firstLineChars="0"/>
              <w:jc w:val="center"/>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毕肖普法</w:t>
            </w:r>
          </w:p>
        </w:tc>
        <w:tc>
          <w:tcPr>
            <w:tcW w:w="891" w:type="dxa"/>
            <w:tcBorders>
              <w:top w:val="single" w:color="auto" w:sz="4" w:space="0"/>
              <w:left w:val="single" w:color="auto" w:sz="4" w:space="0"/>
              <w:bottom w:val="single" w:color="auto" w:sz="4" w:space="0"/>
              <w:right w:val="single" w:color="auto" w:sz="4" w:space="0"/>
            </w:tcBorders>
            <w:noWrap w:val="0"/>
            <w:vAlign w:val="center"/>
          </w:tcPr>
          <w:p>
            <w:pPr>
              <w:widowControl w:val="0"/>
              <w:spacing w:line="240" w:lineRule="auto"/>
              <w:ind w:firstLine="0" w:firstLineChars="0"/>
              <w:jc w:val="center"/>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0g</w:t>
            </w:r>
          </w:p>
        </w:tc>
        <w:tc>
          <w:tcPr>
            <w:tcW w:w="1588" w:type="dxa"/>
            <w:tcBorders>
              <w:top w:val="single" w:color="auto" w:sz="4" w:space="0"/>
              <w:left w:val="single" w:color="auto" w:sz="4" w:space="0"/>
              <w:bottom w:val="single" w:color="auto" w:sz="4" w:space="0"/>
              <w:right w:val="single" w:color="auto" w:sz="4" w:space="0"/>
            </w:tcBorders>
            <w:noWrap w:val="0"/>
            <w:vAlign w:val="center"/>
          </w:tcPr>
          <w:p>
            <w:pPr>
              <w:widowControl w:val="0"/>
              <w:spacing w:line="240" w:lineRule="auto"/>
              <w:ind w:firstLine="0" w:firstLineChars="0"/>
              <w:jc w:val="center"/>
              <w:rPr>
                <w:rFonts w:hint="eastAsia" w:ascii="Times New Roman" w:hAnsi="Times New Roman" w:eastAsia="宋体" w:cs="宋体"/>
                <w:color w:val="auto"/>
                <w:kern w:val="0"/>
                <w:sz w:val="21"/>
                <w:szCs w:val="21"/>
                <w:highlight w:val="none"/>
                <w:lang w:val="en-US" w:eastAsia="zh-CN" w:bidi="ar"/>
              </w:rPr>
            </w:pPr>
            <w:r>
              <w:rPr>
                <w:rFonts w:hint="eastAsia" w:eastAsia="宋体" w:cs="宋体"/>
                <w:color w:val="auto"/>
                <w:kern w:val="0"/>
                <w:sz w:val="21"/>
                <w:szCs w:val="21"/>
                <w:highlight w:val="none"/>
                <w:lang w:val="en-US" w:eastAsia="zh-CN" w:bidi="ar"/>
              </w:rPr>
              <w:t>2.75432</w:t>
            </w:r>
            <w:r>
              <w:rPr>
                <w:rFonts w:eastAsia="宋体" w:cs="宋体"/>
                <w:color w:val="auto"/>
                <w:kern w:val="0"/>
                <w:sz w:val="21"/>
                <w:szCs w:val="21"/>
                <w:highlight w:val="none"/>
                <w:lang w:bidi="ar"/>
              </w:rPr>
              <w:t>(</w:t>
            </w:r>
            <w:r>
              <w:rPr>
                <w:rFonts w:hint="eastAsia" w:eastAsia="宋体" w:cs="宋体"/>
                <w:color w:val="auto"/>
                <w:kern w:val="0"/>
                <w:sz w:val="21"/>
                <w:szCs w:val="21"/>
                <w:highlight w:val="none"/>
                <w:lang w:bidi="ar"/>
              </w:rPr>
              <w:t>左</w:t>
            </w:r>
            <w:r>
              <w:rPr>
                <w:rFonts w:eastAsia="宋体" w:cs="宋体"/>
                <w:color w:val="auto"/>
                <w:kern w:val="0"/>
                <w:sz w:val="21"/>
                <w:szCs w:val="21"/>
                <w:highlight w:val="none"/>
                <w:lang w:bidi="ar"/>
              </w:rPr>
              <w:t xml:space="preserve">) </w:t>
            </w:r>
            <w:r>
              <w:rPr>
                <w:rFonts w:hint="eastAsia" w:eastAsia="宋体" w:cs="宋体"/>
                <w:color w:val="auto"/>
                <w:kern w:val="0"/>
                <w:sz w:val="21"/>
                <w:szCs w:val="21"/>
                <w:highlight w:val="none"/>
                <w:lang w:val="en-US" w:eastAsia="zh-CN" w:bidi="ar"/>
              </w:rPr>
              <w:t>2.00402</w:t>
            </w:r>
            <w:r>
              <w:rPr>
                <w:rFonts w:eastAsia="宋体" w:cs="宋体"/>
                <w:color w:val="auto"/>
                <w:kern w:val="0"/>
                <w:sz w:val="21"/>
                <w:szCs w:val="21"/>
                <w:highlight w:val="none"/>
                <w:lang w:bidi="ar"/>
              </w:rPr>
              <w:t>(</w:t>
            </w:r>
            <w:r>
              <w:rPr>
                <w:rFonts w:hint="eastAsia" w:eastAsia="宋体" w:cs="宋体"/>
                <w:color w:val="auto"/>
                <w:kern w:val="0"/>
                <w:sz w:val="21"/>
                <w:szCs w:val="21"/>
                <w:highlight w:val="none"/>
                <w:lang w:bidi="ar"/>
              </w:rPr>
              <w:t>右</w:t>
            </w:r>
            <w:r>
              <w:rPr>
                <w:rFonts w:eastAsia="宋体" w:cs="宋体"/>
                <w:color w:val="auto"/>
                <w:kern w:val="0"/>
                <w:sz w:val="21"/>
                <w:szCs w:val="21"/>
                <w:highlight w:val="no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3" w:hRule="atLeast"/>
        </w:trPr>
        <w:tc>
          <w:tcPr>
            <w:tcW w:w="1217" w:type="dxa"/>
            <w:tcBorders>
              <w:top w:val="single" w:color="auto" w:sz="4" w:space="0"/>
              <w:left w:val="single" w:color="auto" w:sz="4" w:space="0"/>
              <w:bottom w:val="single" w:color="auto" w:sz="4" w:space="0"/>
              <w:right w:val="single" w:color="auto" w:sz="4" w:space="0"/>
            </w:tcBorders>
            <w:noWrap w:val="0"/>
            <w:vAlign w:val="center"/>
          </w:tcPr>
          <w:p>
            <w:pPr>
              <w:widowControl w:val="0"/>
              <w:spacing w:line="240" w:lineRule="auto"/>
              <w:ind w:firstLine="0" w:firstLineChars="0"/>
              <w:jc w:val="center"/>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工况三</w:t>
            </w:r>
          </w:p>
        </w:tc>
        <w:tc>
          <w:tcPr>
            <w:tcW w:w="1367" w:type="dxa"/>
            <w:tcBorders>
              <w:top w:val="single" w:color="auto" w:sz="4" w:space="0"/>
              <w:left w:val="single" w:color="auto" w:sz="4" w:space="0"/>
              <w:bottom w:val="single" w:color="auto" w:sz="4" w:space="0"/>
              <w:right w:val="single" w:color="auto" w:sz="4" w:space="0"/>
            </w:tcBorders>
            <w:noWrap w:val="0"/>
            <w:vAlign w:val="center"/>
          </w:tcPr>
          <w:p>
            <w:pPr>
              <w:widowControl w:val="0"/>
              <w:spacing w:line="240" w:lineRule="auto"/>
              <w:ind w:firstLine="0" w:firstLineChars="0"/>
              <w:jc w:val="center"/>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水位降落期</w:t>
            </w:r>
          </w:p>
        </w:tc>
        <w:tc>
          <w:tcPr>
            <w:tcW w:w="1276" w:type="dxa"/>
            <w:tcBorders>
              <w:top w:val="single" w:color="auto" w:sz="4" w:space="0"/>
              <w:left w:val="single" w:color="auto" w:sz="4" w:space="0"/>
              <w:bottom w:val="single" w:color="auto" w:sz="4" w:space="0"/>
              <w:right w:val="single" w:color="auto" w:sz="4" w:space="0"/>
            </w:tcBorders>
            <w:noWrap w:val="0"/>
            <w:vAlign w:val="center"/>
          </w:tcPr>
          <w:p>
            <w:pPr>
              <w:widowControl w:val="0"/>
              <w:spacing w:line="240" w:lineRule="auto"/>
              <w:ind w:firstLine="0" w:firstLineChars="0"/>
              <w:jc w:val="center"/>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有效应力法</w:t>
            </w:r>
          </w:p>
        </w:tc>
        <w:tc>
          <w:tcPr>
            <w:tcW w:w="1064" w:type="dxa"/>
            <w:tcBorders>
              <w:top w:val="single" w:color="auto" w:sz="4" w:space="0"/>
              <w:left w:val="single" w:color="auto" w:sz="4" w:space="0"/>
              <w:bottom w:val="single" w:color="auto" w:sz="4" w:space="0"/>
              <w:right w:val="single" w:color="auto" w:sz="4" w:space="0"/>
            </w:tcBorders>
            <w:noWrap w:val="0"/>
            <w:vAlign w:val="center"/>
          </w:tcPr>
          <w:p>
            <w:pPr>
              <w:widowControl w:val="0"/>
              <w:spacing w:line="240" w:lineRule="auto"/>
              <w:ind w:firstLine="0" w:firstLineChars="0"/>
              <w:jc w:val="center"/>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(水位线)设计水位~(水位线)死水位</w:t>
            </w:r>
          </w:p>
        </w:tc>
        <w:tc>
          <w:tcPr>
            <w:tcW w:w="1162" w:type="dxa"/>
            <w:tcBorders>
              <w:top w:val="single" w:color="auto" w:sz="4" w:space="0"/>
              <w:left w:val="single" w:color="auto" w:sz="4" w:space="0"/>
              <w:bottom w:val="single" w:color="auto" w:sz="4" w:space="0"/>
              <w:right w:val="single" w:color="auto" w:sz="4" w:space="0"/>
            </w:tcBorders>
            <w:noWrap w:val="0"/>
            <w:vAlign w:val="center"/>
          </w:tcPr>
          <w:p>
            <w:pPr>
              <w:widowControl w:val="0"/>
              <w:spacing w:line="240" w:lineRule="auto"/>
              <w:ind w:firstLine="0" w:firstLineChars="0"/>
              <w:jc w:val="center"/>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毕肖普法</w:t>
            </w:r>
          </w:p>
        </w:tc>
        <w:tc>
          <w:tcPr>
            <w:tcW w:w="891" w:type="dxa"/>
            <w:tcBorders>
              <w:top w:val="single" w:color="auto" w:sz="4" w:space="0"/>
              <w:left w:val="single" w:color="auto" w:sz="4" w:space="0"/>
              <w:bottom w:val="single" w:color="auto" w:sz="4" w:space="0"/>
              <w:right w:val="single" w:color="auto" w:sz="4" w:space="0"/>
            </w:tcBorders>
            <w:noWrap w:val="0"/>
            <w:vAlign w:val="center"/>
          </w:tcPr>
          <w:p>
            <w:pPr>
              <w:widowControl w:val="0"/>
              <w:spacing w:line="240" w:lineRule="auto"/>
              <w:ind w:firstLine="0" w:firstLineChars="0"/>
              <w:jc w:val="center"/>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0g</w:t>
            </w:r>
          </w:p>
        </w:tc>
        <w:tc>
          <w:tcPr>
            <w:tcW w:w="1588" w:type="dxa"/>
            <w:tcBorders>
              <w:top w:val="single" w:color="auto" w:sz="4" w:space="0"/>
              <w:left w:val="single" w:color="auto" w:sz="4" w:space="0"/>
              <w:bottom w:val="single" w:color="auto" w:sz="4" w:space="0"/>
              <w:right w:val="single" w:color="auto" w:sz="4" w:space="0"/>
            </w:tcBorders>
            <w:noWrap w:val="0"/>
            <w:vAlign w:val="center"/>
          </w:tcPr>
          <w:p>
            <w:pPr>
              <w:widowControl w:val="0"/>
              <w:spacing w:line="240" w:lineRule="auto"/>
              <w:ind w:firstLine="0" w:firstLineChars="0"/>
              <w:jc w:val="center"/>
              <w:rPr>
                <w:rFonts w:hint="eastAsia" w:ascii="Times New Roman" w:hAnsi="Times New Roman" w:eastAsia="宋体" w:cs="宋体"/>
                <w:color w:val="auto"/>
                <w:kern w:val="0"/>
                <w:sz w:val="21"/>
                <w:szCs w:val="21"/>
                <w:highlight w:val="none"/>
                <w:lang w:val="en-US" w:eastAsia="zh-CN" w:bidi="ar"/>
              </w:rPr>
            </w:pPr>
            <w:r>
              <w:rPr>
                <w:rFonts w:hint="eastAsia" w:eastAsia="宋体" w:cs="宋体"/>
                <w:color w:val="auto"/>
                <w:kern w:val="0"/>
                <w:sz w:val="21"/>
                <w:szCs w:val="21"/>
                <w:highlight w:val="none"/>
                <w:lang w:val="en-US" w:eastAsia="zh-CN" w:bidi="ar"/>
              </w:rPr>
              <w:t>1.61145</w:t>
            </w:r>
            <w:r>
              <w:rPr>
                <w:rFonts w:eastAsia="宋体" w:cs="宋体"/>
                <w:color w:val="auto"/>
                <w:kern w:val="0"/>
                <w:sz w:val="21"/>
                <w:szCs w:val="21"/>
                <w:highlight w:val="none"/>
                <w:lang w:bidi="ar"/>
              </w:rPr>
              <w:t>(</w:t>
            </w:r>
            <w:r>
              <w:rPr>
                <w:rFonts w:hint="eastAsia" w:eastAsia="宋体" w:cs="宋体"/>
                <w:color w:val="auto"/>
                <w:kern w:val="0"/>
                <w:sz w:val="21"/>
                <w:szCs w:val="21"/>
                <w:highlight w:val="none"/>
                <w:lang w:bidi="ar"/>
              </w:rPr>
              <w:t>左</w:t>
            </w:r>
            <w:r>
              <w:rPr>
                <w:rFonts w:eastAsia="宋体" w:cs="宋体"/>
                <w:color w:val="auto"/>
                <w:kern w:val="0"/>
                <w:sz w:val="21"/>
                <w:szCs w:val="21"/>
                <w:highlight w:val="none"/>
                <w:lang w:bidi="ar"/>
              </w:rPr>
              <w:t xml:space="preserve">) </w:t>
            </w:r>
            <w:r>
              <w:rPr>
                <w:rFonts w:hint="eastAsia" w:eastAsia="宋体" w:cs="宋体"/>
                <w:color w:val="auto"/>
                <w:kern w:val="0"/>
                <w:sz w:val="21"/>
                <w:szCs w:val="21"/>
                <w:highlight w:val="none"/>
                <w:lang w:val="en-US" w:eastAsia="zh-CN" w:bidi="ar"/>
              </w:rPr>
              <w:t>2.16368</w:t>
            </w:r>
            <w:r>
              <w:rPr>
                <w:rFonts w:eastAsia="宋体" w:cs="宋体"/>
                <w:color w:val="auto"/>
                <w:kern w:val="0"/>
                <w:sz w:val="21"/>
                <w:szCs w:val="21"/>
                <w:highlight w:val="none"/>
                <w:lang w:bidi="ar"/>
              </w:rPr>
              <w:t>(</w:t>
            </w:r>
            <w:r>
              <w:rPr>
                <w:rFonts w:hint="eastAsia" w:eastAsia="宋体" w:cs="宋体"/>
                <w:color w:val="auto"/>
                <w:kern w:val="0"/>
                <w:sz w:val="21"/>
                <w:szCs w:val="21"/>
                <w:highlight w:val="none"/>
                <w:lang w:bidi="ar"/>
              </w:rPr>
              <w:t>右</w:t>
            </w:r>
            <w:r>
              <w:rPr>
                <w:rFonts w:eastAsia="宋体" w:cs="宋体"/>
                <w:color w:val="auto"/>
                <w:kern w:val="0"/>
                <w:sz w:val="21"/>
                <w:szCs w:val="21"/>
                <w:highlight w:val="no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Borders>
              <w:top w:val="single" w:color="auto" w:sz="4" w:space="0"/>
              <w:left w:val="single" w:color="auto" w:sz="4" w:space="0"/>
              <w:bottom w:val="single" w:color="auto" w:sz="4" w:space="0"/>
              <w:right w:val="single" w:color="auto" w:sz="4" w:space="0"/>
            </w:tcBorders>
            <w:noWrap w:val="0"/>
            <w:vAlign w:val="center"/>
          </w:tcPr>
          <w:p>
            <w:pPr>
              <w:widowControl w:val="0"/>
              <w:spacing w:line="240" w:lineRule="auto"/>
              <w:ind w:firstLine="0" w:firstLineChars="0"/>
              <w:jc w:val="center"/>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工况四</w:t>
            </w:r>
          </w:p>
        </w:tc>
        <w:tc>
          <w:tcPr>
            <w:tcW w:w="1367" w:type="dxa"/>
            <w:tcBorders>
              <w:top w:val="single" w:color="auto" w:sz="4" w:space="0"/>
              <w:left w:val="single" w:color="auto" w:sz="4" w:space="0"/>
              <w:bottom w:val="single" w:color="auto" w:sz="4" w:space="0"/>
              <w:right w:val="single" w:color="auto" w:sz="4" w:space="0"/>
            </w:tcBorders>
            <w:noWrap w:val="0"/>
            <w:vAlign w:val="center"/>
          </w:tcPr>
          <w:p>
            <w:pPr>
              <w:widowControl w:val="0"/>
              <w:spacing w:line="240" w:lineRule="auto"/>
              <w:ind w:firstLine="0" w:firstLineChars="0"/>
              <w:jc w:val="center"/>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施工期</w:t>
            </w:r>
          </w:p>
        </w:tc>
        <w:tc>
          <w:tcPr>
            <w:tcW w:w="1276" w:type="dxa"/>
            <w:tcBorders>
              <w:top w:val="single" w:color="auto" w:sz="4" w:space="0"/>
              <w:left w:val="single" w:color="auto" w:sz="4" w:space="0"/>
              <w:bottom w:val="single" w:color="auto" w:sz="4" w:space="0"/>
              <w:right w:val="single" w:color="auto" w:sz="4" w:space="0"/>
            </w:tcBorders>
            <w:noWrap w:val="0"/>
            <w:vAlign w:val="center"/>
          </w:tcPr>
          <w:p>
            <w:pPr>
              <w:widowControl w:val="0"/>
              <w:spacing w:line="240" w:lineRule="auto"/>
              <w:ind w:firstLine="0" w:firstLineChars="0"/>
              <w:jc w:val="center"/>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有效应力法</w:t>
            </w:r>
          </w:p>
        </w:tc>
        <w:tc>
          <w:tcPr>
            <w:tcW w:w="1064" w:type="dxa"/>
            <w:tcBorders>
              <w:top w:val="single" w:color="auto" w:sz="4" w:space="0"/>
              <w:left w:val="single" w:color="auto" w:sz="4" w:space="0"/>
              <w:bottom w:val="single" w:color="auto" w:sz="4" w:space="0"/>
              <w:right w:val="single" w:color="auto" w:sz="4" w:space="0"/>
            </w:tcBorders>
            <w:noWrap w:val="0"/>
            <w:vAlign w:val="center"/>
          </w:tcPr>
          <w:p>
            <w:pPr>
              <w:widowControl w:val="0"/>
              <w:spacing w:line="240" w:lineRule="auto"/>
              <w:ind w:firstLine="0" w:firstLineChars="0"/>
              <w:jc w:val="center"/>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(水位线)</w:t>
            </w:r>
          </w:p>
          <w:p>
            <w:pPr>
              <w:widowControl w:val="0"/>
              <w:spacing w:line="240" w:lineRule="auto"/>
              <w:ind w:firstLine="0" w:firstLineChars="0"/>
              <w:jc w:val="center"/>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死水位</w:t>
            </w:r>
          </w:p>
        </w:tc>
        <w:tc>
          <w:tcPr>
            <w:tcW w:w="1162" w:type="dxa"/>
            <w:tcBorders>
              <w:top w:val="single" w:color="auto" w:sz="4" w:space="0"/>
              <w:left w:val="single" w:color="auto" w:sz="4" w:space="0"/>
              <w:bottom w:val="single" w:color="auto" w:sz="4" w:space="0"/>
              <w:right w:val="single" w:color="auto" w:sz="4" w:space="0"/>
            </w:tcBorders>
            <w:noWrap w:val="0"/>
            <w:vAlign w:val="center"/>
          </w:tcPr>
          <w:p>
            <w:pPr>
              <w:widowControl w:val="0"/>
              <w:spacing w:line="240" w:lineRule="auto"/>
              <w:ind w:firstLine="0" w:firstLineChars="0"/>
              <w:jc w:val="center"/>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毕肖普法</w:t>
            </w:r>
          </w:p>
        </w:tc>
        <w:tc>
          <w:tcPr>
            <w:tcW w:w="891" w:type="dxa"/>
            <w:tcBorders>
              <w:top w:val="single" w:color="auto" w:sz="4" w:space="0"/>
              <w:left w:val="single" w:color="auto" w:sz="4" w:space="0"/>
              <w:bottom w:val="single" w:color="auto" w:sz="4" w:space="0"/>
              <w:right w:val="single" w:color="auto" w:sz="4" w:space="0"/>
            </w:tcBorders>
            <w:noWrap w:val="0"/>
            <w:vAlign w:val="center"/>
          </w:tcPr>
          <w:p>
            <w:pPr>
              <w:widowControl w:val="0"/>
              <w:spacing w:line="240" w:lineRule="auto"/>
              <w:ind w:firstLine="0" w:firstLineChars="0"/>
              <w:jc w:val="center"/>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0g</w:t>
            </w:r>
          </w:p>
        </w:tc>
        <w:tc>
          <w:tcPr>
            <w:tcW w:w="1588" w:type="dxa"/>
            <w:tcBorders>
              <w:top w:val="single" w:color="auto" w:sz="4" w:space="0"/>
              <w:left w:val="single" w:color="auto" w:sz="4" w:space="0"/>
              <w:bottom w:val="single" w:color="auto" w:sz="4" w:space="0"/>
              <w:right w:val="single" w:color="auto" w:sz="4" w:space="0"/>
            </w:tcBorders>
            <w:noWrap w:val="0"/>
            <w:vAlign w:val="center"/>
          </w:tcPr>
          <w:p>
            <w:pPr>
              <w:widowControl w:val="0"/>
              <w:spacing w:line="240" w:lineRule="auto"/>
              <w:ind w:firstLine="0" w:firstLineChars="0"/>
              <w:jc w:val="center"/>
              <w:rPr>
                <w:rFonts w:hint="eastAsia" w:ascii="Times New Roman" w:hAnsi="Times New Roman" w:eastAsia="宋体" w:cs="宋体"/>
                <w:color w:val="auto"/>
                <w:kern w:val="0"/>
                <w:sz w:val="21"/>
                <w:szCs w:val="21"/>
                <w:highlight w:val="none"/>
                <w:lang w:val="en-US" w:eastAsia="zh-CN" w:bidi="ar"/>
              </w:rPr>
            </w:pPr>
            <w:r>
              <w:rPr>
                <w:rFonts w:hint="eastAsia" w:eastAsia="宋体" w:cs="宋体"/>
                <w:color w:val="auto"/>
                <w:kern w:val="0"/>
                <w:sz w:val="21"/>
                <w:szCs w:val="21"/>
                <w:highlight w:val="none"/>
                <w:lang w:val="en-US" w:eastAsia="zh-CN" w:bidi="ar"/>
              </w:rPr>
              <w:t>1.84289</w:t>
            </w:r>
            <w:r>
              <w:rPr>
                <w:rFonts w:hint="eastAsia" w:eastAsia="宋体" w:cs="宋体"/>
                <w:color w:val="auto"/>
                <w:kern w:val="0"/>
                <w:sz w:val="21"/>
                <w:szCs w:val="21"/>
                <w:highlight w:val="none"/>
                <w:lang w:bidi="ar"/>
              </w:rPr>
              <w:t>左</w:t>
            </w:r>
            <w:r>
              <w:rPr>
                <w:rFonts w:eastAsia="宋体" w:cs="宋体"/>
                <w:color w:val="auto"/>
                <w:kern w:val="0"/>
                <w:sz w:val="21"/>
                <w:szCs w:val="21"/>
                <w:highlight w:val="none"/>
                <w:lang w:bidi="ar"/>
              </w:rPr>
              <w:t xml:space="preserve">) </w:t>
            </w:r>
            <w:r>
              <w:rPr>
                <w:rFonts w:hint="eastAsia" w:eastAsia="宋体" w:cs="宋体"/>
                <w:color w:val="auto"/>
                <w:kern w:val="0"/>
                <w:sz w:val="21"/>
                <w:szCs w:val="21"/>
                <w:highlight w:val="none"/>
                <w:lang w:val="en-US" w:eastAsia="zh-CN" w:bidi="ar"/>
              </w:rPr>
              <w:t>2.17612</w:t>
            </w:r>
            <w:r>
              <w:rPr>
                <w:rFonts w:eastAsia="宋体" w:cs="宋体"/>
                <w:color w:val="auto"/>
                <w:kern w:val="0"/>
                <w:sz w:val="21"/>
                <w:szCs w:val="21"/>
                <w:highlight w:val="none"/>
                <w:lang w:bidi="ar"/>
              </w:rPr>
              <w:t>(</w:t>
            </w:r>
            <w:r>
              <w:rPr>
                <w:rFonts w:hint="eastAsia" w:eastAsia="宋体" w:cs="宋体"/>
                <w:color w:val="auto"/>
                <w:kern w:val="0"/>
                <w:sz w:val="21"/>
                <w:szCs w:val="21"/>
                <w:highlight w:val="none"/>
                <w:lang w:bidi="ar"/>
              </w:rPr>
              <w:t>右</w:t>
            </w:r>
            <w:r>
              <w:rPr>
                <w:rFonts w:eastAsia="宋体" w:cs="宋体"/>
                <w:color w:val="auto"/>
                <w:kern w:val="0"/>
                <w:sz w:val="21"/>
                <w:szCs w:val="21"/>
                <w:highlight w:val="no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Borders>
              <w:top w:val="single" w:color="auto" w:sz="4" w:space="0"/>
              <w:left w:val="single" w:color="auto" w:sz="4" w:space="0"/>
              <w:bottom w:val="single" w:color="auto" w:sz="4" w:space="0"/>
              <w:right w:val="single" w:color="auto" w:sz="4" w:space="0"/>
            </w:tcBorders>
            <w:noWrap w:val="0"/>
            <w:vAlign w:val="center"/>
          </w:tcPr>
          <w:p>
            <w:pPr>
              <w:widowControl w:val="0"/>
              <w:spacing w:line="240" w:lineRule="auto"/>
              <w:ind w:firstLine="0" w:firstLineChars="0"/>
              <w:jc w:val="center"/>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工况五</w:t>
            </w:r>
          </w:p>
        </w:tc>
        <w:tc>
          <w:tcPr>
            <w:tcW w:w="1367" w:type="dxa"/>
            <w:tcBorders>
              <w:top w:val="single" w:color="auto" w:sz="4" w:space="0"/>
              <w:left w:val="single" w:color="auto" w:sz="4" w:space="0"/>
              <w:bottom w:val="single" w:color="auto" w:sz="4" w:space="0"/>
              <w:right w:val="single" w:color="auto" w:sz="4" w:space="0"/>
            </w:tcBorders>
            <w:noWrap w:val="0"/>
            <w:vAlign w:val="center"/>
          </w:tcPr>
          <w:p>
            <w:pPr>
              <w:widowControl w:val="0"/>
              <w:spacing w:line="240" w:lineRule="auto"/>
              <w:ind w:firstLine="0" w:firstLineChars="0"/>
              <w:jc w:val="center"/>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正常运行期</w:t>
            </w:r>
          </w:p>
        </w:tc>
        <w:tc>
          <w:tcPr>
            <w:tcW w:w="1276" w:type="dxa"/>
            <w:tcBorders>
              <w:top w:val="single" w:color="auto" w:sz="4" w:space="0"/>
              <w:left w:val="single" w:color="auto" w:sz="4" w:space="0"/>
              <w:bottom w:val="single" w:color="auto" w:sz="4" w:space="0"/>
              <w:right w:val="single" w:color="auto" w:sz="4" w:space="0"/>
            </w:tcBorders>
            <w:noWrap w:val="0"/>
            <w:vAlign w:val="center"/>
          </w:tcPr>
          <w:p>
            <w:pPr>
              <w:widowControl w:val="0"/>
              <w:spacing w:line="240" w:lineRule="auto"/>
              <w:ind w:firstLine="0" w:firstLineChars="0"/>
              <w:jc w:val="center"/>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有效应力法</w:t>
            </w:r>
          </w:p>
        </w:tc>
        <w:tc>
          <w:tcPr>
            <w:tcW w:w="1064" w:type="dxa"/>
            <w:tcBorders>
              <w:top w:val="single" w:color="auto" w:sz="4" w:space="0"/>
              <w:left w:val="single" w:color="auto" w:sz="4" w:space="0"/>
              <w:bottom w:val="single" w:color="auto" w:sz="4" w:space="0"/>
              <w:right w:val="single" w:color="auto" w:sz="4" w:space="0"/>
            </w:tcBorders>
            <w:noWrap w:val="0"/>
            <w:vAlign w:val="center"/>
          </w:tcPr>
          <w:p>
            <w:pPr>
              <w:widowControl w:val="0"/>
              <w:spacing w:line="240" w:lineRule="auto"/>
              <w:ind w:firstLine="0" w:firstLineChars="0"/>
              <w:jc w:val="center"/>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(水位线)</w:t>
            </w:r>
          </w:p>
          <w:p>
            <w:pPr>
              <w:widowControl w:val="0"/>
              <w:spacing w:line="240" w:lineRule="auto"/>
              <w:ind w:firstLine="0" w:firstLineChars="0"/>
              <w:jc w:val="center"/>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校核水位</w:t>
            </w:r>
          </w:p>
        </w:tc>
        <w:tc>
          <w:tcPr>
            <w:tcW w:w="1162" w:type="dxa"/>
            <w:tcBorders>
              <w:top w:val="single" w:color="auto" w:sz="4" w:space="0"/>
              <w:left w:val="single" w:color="auto" w:sz="4" w:space="0"/>
              <w:bottom w:val="single" w:color="auto" w:sz="4" w:space="0"/>
              <w:right w:val="single" w:color="auto" w:sz="4" w:space="0"/>
            </w:tcBorders>
            <w:noWrap w:val="0"/>
            <w:vAlign w:val="center"/>
          </w:tcPr>
          <w:p>
            <w:pPr>
              <w:widowControl w:val="0"/>
              <w:spacing w:line="240" w:lineRule="auto"/>
              <w:ind w:firstLine="0" w:firstLineChars="0"/>
              <w:jc w:val="center"/>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毕肖普法</w:t>
            </w:r>
          </w:p>
        </w:tc>
        <w:tc>
          <w:tcPr>
            <w:tcW w:w="891" w:type="dxa"/>
            <w:tcBorders>
              <w:top w:val="single" w:color="auto" w:sz="4" w:space="0"/>
              <w:left w:val="single" w:color="auto" w:sz="4" w:space="0"/>
              <w:bottom w:val="single" w:color="auto" w:sz="4" w:space="0"/>
              <w:right w:val="single" w:color="auto" w:sz="4" w:space="0"/>
            </w:tcBorders>
            <w:noWrap w:val="0"/>
            <w:vAlign w:val="center"/>
          </w:tcPr>
          <w:p>
            <w:pPr>
              <w:widowControl w:val="0"/>
              <w:spacing w:line="240" w:lineRule="auto"/>
              <w:ind w:firstLine="0" w:firstLineChars="0"/>
              <w:jc w:val="center"/>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0g</w:t>
            </w:r>
          </w:p>
        </w:tc>
        <w:tc>
          <w:tcPr>
            <w:tcW w:w="1588" w:type="dxa"/>
            <w:tcBorders>
              <w:top w:val="single" w:color="auto" w:sz="4" w:space="0"/>
              <w:left w:val="single" w:color="auto" w:sz="4" w:space="0"/>
              <w:bottom w:val="single" w:color="auto" w:sz="4" w:space="0"/>
              <w:right w:val="single" w:color="auto" w:sz="4" w:space="0"/>
            </w:tcBorders>
            <w:noWrap w:val="0"/>
            <w:vAlign w:val="center"/>
          </w:tcPr>
          <w:p>
            <w:pPr>
              <w:widowControl w:val="0"/>
              <w:spacing w:line="240" w:lineRule="auto"/>
              <w:ind w:firstLine="0" w:firstLineChars="0"/>
              <w:jc w:val="center"/>
              <w:rPr>
                <w:rFonts w:hint="eastAsia" w:ascii="Times New Roman" w:hAnsi="Times New Roman" w:eastAsia="宋体" w:cs="宋体"/>
                <w:color w:val="auto"/>
                <w:kern w:val="0"/>
                <w:sz w:val="21"/>
                <w:szCs w:val="21"/>
                <w:highlight w:val="none"/>
                <w:lang w:val="en-US" w:eastAsia="zh-CN" w:bidi="ar"/>
              </w:rPr>
            </w:pPr>
            <w:r>
              <w:rPr>
                <w:rFonts w:hint="eastAsia" w:eastAsia="宋体" w:cs="宋体"/>
                <w:color w:val="auto"/>
                <w:kern w:val="0"/>
                <w:sz w:val="21"/>
                <w:szCs w:val="21"/>
                <w:highlight w:val="none"/>
                <w:lang w:val="en-US" w:eastAsia="zh-CN" w:bidi="ar"/>
              </w:rPr>
              <w:t>2.78912</w:t>
            </w:r>
            <w:r>
              <w:rPr>
                <w:rFonts w:eastAsia="宋体" w:cs="宋体"/>
                <w:color w:val="auto"/>
                <w:kern w:val="0"/>
                <w:sz w:val="21"/>
                <w:szCs w:val="21"/>
                <w:highlight w:val="none"/>
                <w:lang w:bidi="ar"/>
              </w:rPr>
              <w:t>(</w:t>
            </w:r>
            <w:r>
              <w:rPr>
                <w:rFonts w:hint="eastAsia" w:eastAsia="宋体" w:cs="宋体"/>
                <w:color w:val="auto"/>
                <w:kern w:val="0"/>
                <w:sz w:val="21"/>
                <w:szCs w:val="21"/>
                <w:highlight w:val="none"/>
                <w:lang w:bidi="ar"/>
              </w:rPr>
              <w:t>左</w:t>
            </w:r>
            <w:r>
              <w:rPr>
                <w:rFonts w:eastAsia="宋体" w:cs="宋体"/>
                <w:color w:val="auto"/>
                <w:kern w:val="0"/>
                <w:sz w:val="21"/>
                <w:szCs w:val="21"/>
                <w:highlight w:val="none"/>
                <w:lang w:bidi="ar"/>
              </w:rPr>
              <w:t xml:space="preserve">) </w:t>
            </w:r>
            <w:r>
              <w:rPr>
                <w:rFonts w:hint="eastAsia" w:eastAsia="宋体" w:cs="宋体"/>
                <w:color w:val="auto"/>
                <w:kern w:val="0"/>
                <w:sz w:val="21"/>
                <w:szCs w:val="21"/>
                <w:highlight w:val="none"/>
                <w:lang w:val="en-US" w:eastAsia="zh-CN" w:bidi="ar"/>
              </w:rPr>
              <w:t>1.99764</w:t>
            </w:r>
            <w:r>
              <w:rPr>
                <w:rFonts w:eastAsia="宋体" w:cs="宋体"/>
                <w:color w:val="auto"/>
                <w:kern w:val="0"/>
                <w:sz w:val="21"/>
                <w:szCs w:val="21"/>
                <w:highlight w:val="none"/>
                <w:lang w:bidi="ar"/>
              </w:rPr>
              <w:t>(</w:t>
            </w:r>
            <w:r>
              <w:rPr>
                <w:rFonts w:hint="eastAsia" w:eastAsia="宋体" w:cs="宋体"/>
                <w:color w:val="auto"/>
                <w:kern w:val="0"/>
                <w:sz w:val="21"/>
                <w:szCs w:val="21"/>
                <w:highlight w:val="none"/>
                <w:lang w:bidi="ar"/>
              </w:rPr>
              <w:t>右</w:t>
            </w:r>
            <w:r>
              <w:rPr>
                <w:rFonts w:eastAsia="宋体" w:cs="宋体"/>
                <w:color w:val="auto"/>
                <w:kern w:val="0"/>
                <w:sz w:val="21"/>
                <w:szCs w:val="21"/>
                <w:highlight w:val="no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Borders>
              <w:top w:val="single" w:color="auto" w:sz="4" w:space="0"/>
              <w:left w:val="single" w:color="auto" w:sz="4" w:space="0"/>
              <w:bottom w:val="single" w:color="auto" w:sz="4" w:space="0"/>
              <w:right w:val="single" w:color="auto" w:sz="4" w:space="0"/>
            </w:tcBorders>
            <w:noWrap w:val="0"/>
            <w:vAlign w:val="center"/>
          </w:tcPr>
          <w:p>
            <w:pPr>
              <w:widowControl w:val="0"/>
              <w:spacing w:line="240" w:lineRule="auto"/>
              <w:ind w:firstLine="0" w:firstLineChars="0"/>
              <w:jc w:val="center"/>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工况六</w:t>
            </w:r>
          </w:p>
        </w:tc>
        <w:tc>
          <w:tcPr>
            <w:tcW w:w="1367" w:type="dxa"/>
            <w:tcBorders>
              <w:top w:val="single" w:color="auto" w:sz="4" w:space="0"/>
              <w:left w:val="single" w:color="auto" w:sz="4" w:space="0"/>
              <w:bottom w:val="single" w:color="auto" w:sz="4" w:space="0"/>
              <w:right w:val="single" w:color="auto" w:sz="4" w:space="0"/>
            </w:tcBorders>
            <w:noWrap w:val="0"/>
            <w:vAlign w:val="center"/>
          </w:tcPr>
          <w:p>
            <w:pPr>
              <w:widowControl w:val="0"/>
              <w:spacing w:line="240" w:lineRule="auto"/>
              <w:ind w:firstLine="0" w:firstLineChars="0"/>
              <w:jc w:val="center"/>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水位降落期</w:t>
            </w:r>
          </w:p>
        </w:tc>
        <w:tc>
          <w:tcPr>
            <w:tcW w:w="1276" w:type="dxa"/>
            <w:tcBorders>
              <w:top w:val="single" w:color="auto" w:sz="4" w:space="0"/>
              <w:left w:val="single" w:color="auto" w:sz="4" w:space="0"/>
              <w:bottom w:val="single" w:color="auto" w:sz="4" w:space="0"/>
              <w:right w:val="single" w:color="auto" w:sz="4" w:space="0"/>
            </w:tcBorders>
            <w:noWrap w:val="0"/>
            <w:vAlign w:val="center"/>
          </w:tcPr>
          <w:p>
            <w:pPr>
              <w:widowControl w:val="0"/>
              <w:spacing w:line="240" w:lineRule="auto"/>
              <w:ind w:firstLine="0" w:firstLineChars="0"/>
              <w:jc w:val="center"/>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有效应力法</w:t>
            </w:r>
          </w:p>
        </w:tc>
        <w:tc>
          <w:tcPr>
            <w:tcW w:w="1064" w:type="dxa"/>
            <w:tcBorders>
              <w:top w:val="single" w:color="auto" w:sz="4" w:space="0"/>
              <w:left w:val="single" w:color="auto" w:sz="4" w:space="0"/>
              <w:bottom w:val="single" w:color="auto" w:sz="4" w:space="0"/>
              <w:right w:val="single" w:color="auto" w:sz="4" w:space="0"/>
            </w:tcBorders>
            <w:noWrap w:val="0"/>
            <w:vAlign w:val="center"/>
          </w:tcPr>
          <w:p>
            <w:pPr>
              <w:widowControl w:val="0"/>
              <w:spacing w:line="240" w:lineRule="auto"/>
              <w:ind w:firstLine="0" w:firstLineChars="0"/>
              <w:jc w:val="center"/>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(水位线)校核水位~(水位线)死水位</w:t>
            </w:r>
          </w:p>
        </w:tc>
        <w:tc>
          <w:tcPr>
            <w:tcW w:w="1162" w:type="dxa"/>
            <w:tcBorders>
              <w:top w:val="single" w:color="auto" w:sz="4" w:space="0"/>
              <w:left w:val="single" w:color="auto" w:sz="4" w:space="0"/>
              <w:bottom w:val="single" w:color="auto" w:sz="4" w:space="0"/>
              <w:right w:val="single" w:color="auto" w:sz="4" w:space="0"/>
            </w:tcBorders>
            <w:noWrap w:val="0"/>
            <w:vAlign w:val="center"/>
          </w:tcPr>
          <w:p>
            <w:pPr>
              <w:widowControl w:val="0"/>
              <w:spacing w:line="240" w:lineRule="auto"/>
              <w:ind w:firstLine="0" w:firstLineChars="0"/>
              <w:jc w:val="center"/>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毕肖普法</w:t>
            </w:r>
          </w:p>
        </w:tc>
        <w:tc>
          <w:tcPr>
            <w:tcW w:w="891" w:type="dxa"/>
            <w:tcBorders>
              <w:top w:val="single" w:color="auto" w:sz="4" w:space="0"/>
              <w:left w:val="single" w:color="auto" w:sz="4" w:space="0"/>
              <w:bottom w:val="single" w:color="auto" w:sz="4" w:space="0"/>
              <w:right w:val="single" w:color="auto" w:sz="4" w:space="0"/>
            </w:tcBorders>
            <w:noWrap w:val="0"/>
            <w:vAlign w:val="center"/>
          </w:tcPr>
          <w:p>
            <w:pPr>
              <w:widowControl w:val="0"/>
              <w:spacing w:line="240" w:lineRule="auto"/>
              <w:ind w:firstLine="0" w:firstLineChars="0"/>
              <w:jc w:val="center"/>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0g</w:t>
            </w:r>
          </w:p>
        </w:tc>
        <w:tc>
          <w:tcPr>
            <w:tcW w:w="1588" w:type="dxa"/>
            <w:tcBorders>
              <w:top w:val="single" w:color="auto" w:sz="4" w:space="0"/>
              <w:left w:val="single" w:color="auto" w:sz="4" w:space="0"/>
              <w:bottom w:val="single" w:color="auto" w:sz="4" w:space="0"/>
              <w:right w:val="single" w:color="auto" w:sz="4" w:space="0"/>
            </w:tcBorders>
            <w:noWrap w:val="0"/>
            <w:vAlign w:val="center"/>
          </w:tcPr>
          <w:p>
            <w:pPr>
              <w:widowControl w:val="0"/>
              <w:spacing w:line="240" w:lineRule="auto"/>
              <w:ind w:firstLine="0" w:firstLineChars="0"/>
              <w:jc w:val="center"/>
              <w:rPr>
                <w:rFonts w:hint="eastAsia" w:ascii="Times New Roman" w:hAnsi="Times New Roman" w:eastAsia="宋体" w:cs="宋体"/>
                <w:color w:val="auto"/>
                <w:kern w:val="0"/>
                <w:sz w:val="21"/>
                <w:szCs w:val="21"/>
                <w:highlight w:val="none"/>
                <w:lang w:val="en-US" w:eastAsia="zh-CN" w:bidi="ar"/>
              </w:rPr>
            </w:pPr>
            <w:r>
              <w:rPr>
                <w:rFonts w:hint="eastAsia" w:eastAsia="宋体" w:cs="宋体"/>
                <w:color w:val="auto"/>
                <w:kern w:val="0"/>
                <w:sz w:val="21"/>
                <w:szCs w:val="21"/>
                <w:highlight w:val="none"/>
                <w:lang w:val="en-US" w:eastAsia="zh-CN" w:bidi="ar"/>
              </w:rPr>
              <w:t>1.61145</w:t>
            </w:r>
            <w:r>
              <w:rPr>
                <w:rFonts w:eastAsia="宋体" w:cs="宋体"/>
                <w:color w:val="auto"/>
                <w:kern w:val="0"/>
                <w:sz w:val="21"/>
                <w:szCs w:val="21"/>
                <w:highlight w:val="none"/>
                <w:lang w:bidi="ar"/>
              </w:rPr>
              <w:t>(</w:t>
            </w:r>
            <w:r>
              <w:rPr>
                <w:rFonts w:hint="eastAsia" w:eastAsia="宋体" w:cs="宋体"/>
                <w:color w:val="auto"/>
                <w:kern w:val="0"/>
                <w:sz w:val="21"/>
                <w:szCs w:val="21"/>
                <w:highlight w:val="none"/>
                <w:lang w:bidi="ar"/>
              </w:rPr>
              <w:t>左</w:t>
            </w:r>
            <w:r>
              <w:rPr>
                <w:rFonts w:eastAsia="宋体" w:cs="宋体"/>
                <w:color w:val="auto"/>
                <w:kern w:val="0"/>
                <w:sz w:val="21"/>
                <w:szCs w:val="21"/>
                <w:highlight w:val="none"/>
                <w:lang w:bidi="ar"/>
              </w:rPr>
              <w:t xml:space="preserve">) </w:t>
            </w:r>
            <w:r>
              <w:rPr>
                <w:rFonts w:hint="eastAsia" w:eastAsia="宋体" w:cs="宋体"/>
                <w:color w:val="auto"/>
                <w:kern w:val="0"/>
                <w:sz w:val="21"/>
                <w:szCs w:val="21"/>
                <w:highlight w:val="none"/>
                <w:lang w:val="en-US" w:eastAsia="zh-CN" w:bidi="ar"/>
              </w:rPr>
              <w:t>2.16052</w:t>
            </w:r>
            <w:r>
              <w:rPr>
                <w:rFonts w:eastAsia="宋体" w:cs="宋体"/>
                <w:color w:val="auto"/>
                <w:kern w:val="0"/>
                <w:sz w:val="21"/>
                <w:szCs w:val="21"/>
                <w:highlight w:val="none"/>
                <w:lang w:bidi="ar"/>
              </w:rPr>
              <w:t>(</w:t>
            </w:r>
            <w:r>
              <w:rPr>
                <w:rFonts w:hint="eastAsia" w:eastAsia="宋体" w:cs="宋体"/>
                <w:color w:val="auto"/>
                <w:kern w:val="0"/>
                <w:sz w:val="21"/>
                <w:szCs w:val="21"/>
                <w:highlight w:val="none"/>
                <w:lang w:bidi="ar"/>
              </w:rPr>
              <w:t>右</w:t>
            </w:r>
            <w:r>
              <w:rPr>
                <w:rFonts w:eastAsia="宋体" w:cs="宋体"/>
                <w:color w:val="auto"/>
                <w:kern w:val="0"/>
                <w:sz w:val="21"/>
                <w:szCs w:val="21"/>
                <w:highlight w:val="no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Borders>
              <w:top w:val="single" w:color="auto" w:sz="4" w:space="0"/>
              <w:left w:val="single" w:color="auto" w:sz="4" w:space="0"/>
              <w:bottom w:val="single" w:color="auto" w:sz="4" w:space="0"/>
              <w:right w:val="single" w:color="auto" w:sz="4" w:space="0"/>
            </w:tcBorders>
            <w:noWrap w:val="0"/>
            <w:vAlign w:val="center"/>
          </w:tcPr>
          <w:p>
            <w:pPr>
              <w:widowControl w:val="0"/>
              <w:spacing w:line="240" w:lineRule="auto"/>
              <w:ind w:firstLine="0" w:firstLineChars="0"/>
              <w:jc w:val="center"/>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工况七</w:t>
            </w:r>
          </w:p>
        </w:tc>
        <w:tc>
          <w:tcPr>
            <w:tcW w:w="1367" w:type="dxa"/>
            <w:tcBorders>
              <w:top w:val="single" w:color="auto" w:sz="4" w:space="0"/>
              <w:left w:val="single" w:color="auto" w:sz="4" w:space="0"/>
              <w:bottom w:val="single" w:color="auto" w:sz="4" w:space="0"/>
              <w:right w:val="single" w:color="auto" w:sz="4" w:space="0"/>
            </w:tcBorders>
            <w:noWrap w:val="0"/>
            <w:vAlign w:val="center"/>
          </w:tcPr>
          <w:p>
            <w:pPr>
              <w:widowControl w:val="0"/>
              <w:spacing w:line="240" w:lineRule="auto"/>
              <w:ind w:firstLine="0" w:firstLineChars="0"/>
              <w:jc w:val="center"/>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正常运行期</w:t>
            </w:r>
          </w:p>
        </w:tc>
        <w:tc>
          <w:tcPr>
            <w:tcW w:w="1276" w:type="dxa"/>
            <w:tcBorders>
              <w:top w:val="single" w:color="auto" w:sz="4" w:space="0"/>
              <w:left w:val="single" w:color="auto" w:sz="4" w:space="0"/>
              <w:bottom w:val="single" w:color="auto" w:sz="4" w:space="0"/>
              <w:right w:val="single" w:color="auto" w:sz="4" w:space="0"/>
            </w:tcBorders>
            <w:noWrap w:val="0"/>
            <w:vAlign w:val="center"/>
          </w:tcPr>
          <w:p>
            <w:pPr>
              <w:widowControl w:val="0"/>
              <w:spacing w:line="240" w:lineRule="auto"/>
              <w:ind w:firstLine="0" w:firstLineChars="0"/>
              <w:jc w:val="center"/>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有效应力法</w:t>
            </w:r>
          </w:p>
        </w:tc>
        <w:tc>
          <w:tcPr>
            <w:tcW w:w="1064" w:type="dxa"/>
            <w:tcBorders>
              <w:top w:val="single" w:color="auto" w:sz="4" w:space="0"/>
              <w:left w:val="single" w:color="auto" w:sz="4" w:space="0"/>
              <w:bottom w:val="single" w:color="auto" w:sz="4" w:space="0"/>
              <w:right w:val="single" w:color="auto" w:sz="4" w:space="0"/>
            </w:tcBorders>
            <w:noWrap w:val="0"/>
            <w:vAlign w:val="center"/>
          </w:tcPr>
          <w:p>
            <w:pPr>
              <w:widowControl w:val="0"/>
              <w:spacing w:line="240" w:lineRule="auto"/>
              <w:ind w:firstLine="0" w:firstLineChars="0"/>
              <w:jc w:val="center"/>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(水位线)</w:t>
            </w:r>
          </w:p>
          <w:p>
            <w:pPr>
              <w:widowControl w:val="0"/>
              <w:spacing w:line="240" w:lineRule="auto"/>
              <w:ind w:firstLine="0" w:firstLineChars="0"/>
              <w:jc w:val="center"/>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正常蓄水位</w:t>
            </w:r>
          </w:p>
        </w:tc>
        <w:tc>
          <w:tcPr>
            <w:tcW w:w="1162" w:type="dxa"/>
            <w:tcBorders>
              <w:top w:val="single" w:color="auto" w:sz="4" w:space="0"/>
              <w:left w:val="single" w:color="auto" w:sz="4" w:space="0"/>
              <w:bottom w:val="single" w:color="auto" w:sz="4" w:space="0"/>
              <w:right w:val="single" w:color="auto" w:sz="4" w:space="0"/>
            </w:tcBorders>
            <w:noWrap w:val="0"/>
            <w:vAlign w:val="center"/>
          </w:tcPr>
          <w:p>
            <w:pPr>
              <w:widowControl w:val="0"/>
              <w:spacing w:line="240" w:lineRule="auto"/>
              <w:ind w:firstLine="0" w:firstLineChars="0"/>
              <w:jc w:val="center"/>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毕肖普法</w:t>
            </w:r>
          </w:p>
        </w:tc>
        <w:tc>
          <w:tcPr>
            <w:tcW w:w="891" w:type="dxa"/>
            <w:tcBorders>
              <w:top w:val="single" w:color="auto" w:sz="4" w:space="0"/>
              <w:left w:val="single" w:color="auto" w:sz="4" w:space="0"/>
              <w:bottom w:val="single" w:color="auto" w:sz="4" w:space="0"/>
              <w:right w:val="single" w:color="auto" w:sz="4" w:space="0"/>
            </w:tcBorders>
            <w:noWrap w:val="0"/>
            <w:vAlign w:val="center"/>
          </w:tcPr>
          <w:p>
            <w:pPr>
              <w:widowControl w:val="0"/>
              <w:spacing w:line="240" w:lineRule="auto"/>
              <w:ind w:firstLine="0" w:firstLineChars="0"/>
              <w:jc w:val="center"/>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0.1 g</w:t>
            </w:r>
          </w:p>
        </w:tc>
        <w:tc>
          <w:tcPr>
            <w:tcW w:w="1588" w:type="dxa"/>
            <w:tcBorders>
              <w:top w:val="single" w:color="auto" w:sz="4" w:space="0"/>
              <w:left w:val="single" w:color="auto" w:sz="4" w:space="0"/>
              <w:bottom w:val="single" w:color="auto" w:sz="4" w:space="0"/>
              <w:right w:val="single" w:color="auto" w:sz="4" w:space="0"/>
            </w:tcBorders>
            <w:noWrap w:val="0"/>
            <w:vAlign w:val="center"/>
          </w:tcPr>
          <w:p>
            <w:pPr>
              <w:widowControl w:val="0"/>
              <w:spacing w:line="240" w:lineRule="auto"/>
              <w:ind w:firstLine="0" w:firstLineChars="0"/>
              <w:jc w:val="center"/>
              <w:rPr>
                <w:rFonts w:hint="eastAsia" w:ascii="Times New Roman" w:hAnsi="Times New Roman" w:eastAsia="宋体" w:cs="宋体"/>
                <w:color w:val="auto"/>
                <w:kern w:val="0"/>
                <w:sz w:val="21"/>
                <w:szCs w:val="21"/>
                <w:highlight w:val="none"/>
                <w:lang w:val="en-US" w:eastAsia="zh-CN" w:bidi="ar"/>
              </w:rPr>
            </w:pPr>
            <w:r>
              <w:rPr>
                <w:rFonts w:hint="eastAsia" w:eastAsia="宋体" w:cs="宋体"/>
                <w:color w:val="auto"/>
                <w:kern w:val="0"/>
                <w:sz w:val="21"/>
                <w:szCs w:val="21"/>
                <w:highlight w:val="none"/>
                <w:lang w:val="en-US" w:eastAsia="zh-CN" w:bidi="ar"/>
              </w:rPr>
              <w:t>1.85439</w:t>
            </w:r>
            <w:r>
              <w:rPr>
                <w:rFonts w:eastAsia="宋体" w:cs="宋体"/>
                <w:color w:val="auto"/>
                <w:kern w:val="0"/>
                <w:sz w:val="21"/>
                <w:szCs w:val="21"/>
                <w:highlight w:val="none"/>
                <w:lang w:bidi="ar"/>
              </w:rPr>
              <w:t>(</w:t>
            </w:r>
            <w:r>
              <w:rPr>
                <w:rFonts w:hint="eastAsia" w:eastAsia="宋体" w:cs="宋体"/>
                <w:color w:val="auto"/>
                <w:kern w:val="0"/>
                <w:sz w:val="21"/>
                <w:szCs w:val="21"/>
                <w:highlight w:val="none"/>
                <w:lang w:bidi="ar"/>
              </w:rPr>
              <w:t>左</w:t>
            </w:r>
            <w:r>
              <w:rPr>
                <w:rFonts w:eastAsia="宋体" w:cs="宋体"/>
                <w:color w:val="auto"/>
                <w:kern w:val="0"/>
                <w:sz w:val="21"/>
                <w:szCs w:val="21"/>
                <w:highlight w:val="none"/>
                <w:lang w:bidi="ar"/>
              </w:rPr>
              <w:t xml:space="preserve">) </w:t>
            </w:r>
            <w:r>
              <w:rPr>
                <w:rFonts w:hint="eastAsia" w:eastAsia="宋体" w:cs="宋体"/>
                <w:color w:val="auto"/>
                <w:kern w:val="0"/>
                <w:sz w:val="21"/>
                <w:szCs w:val="21"/>
                <w:highlight w:val="none"/>
                <w:lang w:val="en-US" w:eastAsia="zh-CN" w:bidi="ar"/>
              </w:rPr>
              <w:t>1.74727</w:t>
            </w:r>
            <w:r>
              <w:rPr>
                <w:rFonts w:eastAsia="宋体" w:cs="宋体"/>
                <w:color w:val="auto"/>
                <w:kern w:val="0"/>
                <w:sz w:val="21"/>
                <w:szCs w:val="21"/>
                <w:highlight w:val="none"/>
                <w:lang w:bidi="ar"/>
              </w:rPr>
              <w:t>(</w:t>
            </w:r>
            <w:r>
              <w:rPr>
                <w:rFonts w:hint="eastAsia" w:eastAsia="宋体" w:cs="宋体"/>
                <w:color w:val="auto"/>
                <w:kern w:val="0"/>
                <w:sz w:val="21"/>
                <w:szCs w:val="21"/>
                <w:highlight w:val="none"/>
                <w:lang w:bidi="ar"/>
              </w:rPr>
              <w:t>右</w:t>
            </w:r>
            <w:r>
              <w:rPr>
                <w:rFonts w:eastAsia="宋体" w:cs="宋体"/>
                <w:color w:val="auto"/>
                <w:kern w:val="0"/>
                <w:sz w:val="21"/>
                <w:szCs w:val="21"/>
                <w:highlight w:val="none"/>
                <w:lang w:bidi="ar"/>
              </w:rPr>
              <w:t>)</w:t>
            </w:r>
          </w:p>
        </w:tc>
      </w:tr>
    </w:tbl>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rPr>
          <w:rFonts w:hint="eastAsia" w:ascii="Times New Roman" w:hAnsi="Times New Roman" w:eastAsia="宋体" w:cs="Times New Roman"/>
          <w:color w:val="auto"/>
          <w:kern w:val="2"/>
          <w:sz w:val="24"/>
          <w:szCs w:val="24"/>
          <w:highlight w:val="none"/>
          <w:lang w:val="en-US" w:eastAsia="zh-CN" w:bidi="ar-SA"/>
        </w:rPr>
      </w:pPr>
      <w:r>
        <w:rPr>
          <w:rFonts w:hint="eastAsia" w:ascii="Times New Roman" w:hAnsi="Times New Roman" w:eastAsia="宋体" w:cs="Times New Roman"/>
          <w:color w:val="auto"/>
          <w:kern w:val="2"/>
          <w:sz w:val="24"/>
          <w:szCs w:val="24"/>
          <w:highlight w:val="none"/>
          <w:lang w:val="en-US" w:eastAsia="zh-CN" w:bidi="ar-SA"/>
        </w:rPr>
        <w:t>4.渗流量对比</w:t>
      </w:r>
    </w:p>
    <w:tbl>
      <w:tblPr>
        <w:tblStyle w:val="2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454"/>
        <w:gridCol w:w="26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2454"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工况</w:t>
            </w:r>
          </w:p>
        </w:tc>
        <w:tc>
          <w:tcPr>
            <w:tcW w:w="2605" w:type="dxa"/>
            <w:tcBorders>
              <w:top w:val="single" w:color="000000" w:sz="8" w:space="0"/>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 xml:space="preserve">渗流量 </w:t>
            </w:r>
            <w:r>
              <w:rPr>
                <w:rStyle w:val="55"/>
                <w:rFonts w:eastAsia="宋体"/>
                <w:color w:val="auto"/>
                <w:sz w:val="21"/>
                <w:szCs w:val="21"/>
                <w:highlight w:val="none"/>
                <w:lang w:val="en-US" w:eastAsia="zh-CN" w:bidi="ar"/>
              </w:rPr>
              <w:t>m</w:t>
            </w:r>
            <w:r>
              <w:rPr>
                <w:rStyle w:val="53"/>
                <w:color w:val="auto"/>
                <w:sz w:val="21"/>
                <w:szCs w:val="21"/>
                <w:highlight w:val="none"/>
                <w:lang w:val="en-US" w:eastAsia="zh-CN" w:bidi="ar"/>
              </w:rPr>
              <w:t>³</w:t>
            </w:r>
            <w:r>
              <w:rPr>
                <w:rStyle w:val="55"/>
                <w:rFonts w:eastAsia="宋体"/>
                <w:color w:val="auto"/>
                <w:sz w:val="21"/>
                <w:szCs w:val="21"/>
                <w:highlight w:val="none"/>
                <w:lang w:val="en-US" w:eastAsia="zh-CN" w:bidi="ar"/>
              </w:rPr>
              <w:t>/s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2454" w:type="dxa"/>
            <w:tcBorders>
              <w:top w:val="nil"/>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加固前校核洪水位</w:t>
            </w:r>
          </w:p>
        </w:tc>
        <w:tc>
          <w:tcPr>
            <w:tcW w:w="2605"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3.67E-04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2454" w:type="dxa"/>
            <w:tcBorders>
              <w:top w:val="nil"/>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加固后校核洪水位</w:t>
            </w:r>
          </w:p>
        </w:tc>
        <w:tc>
          <w:tcPr>
            <w:tcW w:w="2605" w:type="dxa"/>
            <w:tcBorders>
              <w:top w:val="nil"/>
              <w:left w:val="nil"/>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Times New Roman" w:hAnsi="Times New Roman" w:eastAsia="宋体" w:cs="Times New Roman"/>
                <w:i w:val="0"/>
                <w:iCs w:val="0"/>
                <w:color w:val="auto"/>
                <w:sz w:val="21"/>
                <w:szCs w:val="21"/>
                <w:highlight w:val="none"/>
                <w:u w:val="none"/>
              </w:rPr>
            </w:pPr>
            <w:r>
              <w:rPr>
                <w:rFonts w:hint="eastAsia" w:ascii="Times New Roman" w:hAnsi="Times New Roman" w:eastAsia="宋体" w:cs="Times New Roman"/>
                <w:i w:val="0"/>
                <w:iCs w:val="0"/>
                <w:color w:val="auto"/>
                <w:kern w:val="0"/>
                <w:sz w:val="21"/>
                <w:szCs w:val="21"/>
                <w:highlight w:val="none"/>
                <w:u w:val="none"/>
                <w:lang w:val="en-US" w:eastAsia="zh-CN" w:bidi="ar"/>
              </w:rPr>
              <w:t>4.66</w:t>
            </w:r>
            <w:r>
              <w:rPr>
                <w:rFonts w:hint="default" w:ascii="Times New Roman" w:hAnsi="Times New Roman" w:eastAsia="宋体" w:cs="Times New Roman"/>
                <w:i w:val="0"/>
                <w:iCs w:val="0"/>
                <w:color w:val="auto"/>
                <w:kern w:val="0"/>
                <w:sz w:val="21"/>
                <w:szCs w:val="21"/>
                <w:highlight w:val="none"/>
                <w:u w:val="none"/>
                <w:lang w:val="en-US" w:eastAsia="zh-CN" w:bidi="ar"/>
              </w:rPr>
              <w:t>E-05</w:t>
            </w:r>
          </w:p>
        </w:tc>
      </w:tr>
    </w:tbl>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rPr>
          <w:rFonts w:hint="eastAsia" w:ascii="Times New Roman" w:hAnsi="Times New Roman" w:eastAsia="宋体" w:cs="Times New Roman"/>
          <w:color w:val="auto"/>
          <w:kern w:val="2"/>
          <w:sz w:val="24"/>
          <w:szCs w:val="24"/>
          <w:highlight w:val="none"/>
          <w:lang w:val="en-US" w:eastAsia="zh-CN" w:bidi="ar-SA"/>
        </w:rPr>
      </w:pPr>
      <w:r>
        <w:rPr>
          <w:rFonts w:hint="eastAsia" w:ascii="Times New Roman" w:hAnsi="Times New Roman" w:eastAsia="宋体" w:cs="Times New Roman"/>
          <w:color w:val="auto"/>
          <w:kern w:val="2"/>
          <w:sz w:val="24"/>
          <w:szCs w:val="24"/>
          <w:highlight w:val="none"/>
          <w:lang w:val="en-US" w:eastAsia="zh-CN" w:bidi="ar-SA"/>
        </w:rPr>
        <w:t>5.边坡稳定对比</w:t>
      </w:r>
    </w:p>
    <w:tbl>
      <w:tblPr>
        <w:tblStyle w:val="23"/>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1"/>
        <w:gridCol w:w="2011"/>
        <w:gridCol w:w="1319"/>
        <w:gridCol w:w="1391"/>
        <w:gridCol w:w="1229"/>
        <w:gridCol w:w="13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867" w:type="pct"/>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计算工况</w:t>
            </w:r>
          </w:p>
        </w:tc>
        <w:tc>
          <w:tcPr>
            <w:tcW w:w="77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坝坡</w:t>
            </w:r>
          </w:p>
        </w:tc>
        <w:tc>
          <w:tcPr>
            <w:tcW w:w="81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规范允许值K</w:t>
            </w:r>
          </w:p>
        </w:tc>
        <w:tc>
          <w:tcPr>
            <w:tcW w:w="72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加固前结果</w:t>
            </w:r>
          </w:p>
        </w:tc>
        <w:tc>
          <w:tcPr>
            <w:tcW w:w="81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加固后结果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87" w:type="pct"/>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正常工作条件</w:t>
            </w:r>
          </w:p>
        </w:tc>
        <w:tc>
          <w:tcPr>
            <w:tcW w:w="118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正常蓄水位情况稳定渗流期</w:t>
            </w:r>
          </w:p>
        </w:tc>
        <w:tc>
          <w:tcPr>
            <w:tcW w:w="77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下游坝坡</w:t>
            </w:r>
          </w:p>
        </w:tc>
        <w:tc>
          <w:tcPr>
            <w:tcW w:w="81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1.25</w:t>
            </w:r>
          </w:p>
        </w:tc>
        <w:tc>
          <w:tcPr>
            <w:tcW w:w="1290" w:type="dxa"/>
            <w:tcBorders>
              <w:top w:val="single" w:color="auto" w:sz="4" w:space="0"/>
              <w:left w:val="single" w:color="auto" w:sz="4" w:space="0"/>
              <w:bottom w:val="single" w:color="auto" w:sz="4" w:space="0"/>
              <w:right w:val="single" w:color="auto" w:sz="4" w:space="0"/>
            </w:tcBorders>
            <w:noWrap w:val="0"/>
            <w:vAlign w:val="center"/>
          </w:tcPr>
          <w:p>
            <w:pPr>
              <w:widowControl w:val="0"/>
              <w:spacing w:line="240" w:lineRule="auto"/>
              <w:ind w:firstLine="420" w:firstLineChars="200"/>
              <w:jc w:val="both"/>
              <w:rPr>
                <w:rFonts w:hint="eastAsia" w:ascii="Times New Roman" w:hAnsi="Times New Roman" w:eastAsia="宋体" w:cs="宋体"/>
                <w:color w:val="auto"/>
                <w:kern w:val="0"/>
                <w:sz w:val="21"/>
                <w:szCs w:val="21"/>
                <w:highlight w:val="none"/>
                <w:lang w:val="en-US" w:eastAsia="zh-CN" w:bidi="ar"/>
              </w:rPr>
            </w:pPr>
            <w:r>
              <w:rPr>
                <w:rFonts w:hint="eastAsia" w:eastAsia="宋体" w:cs="Times New Roman"/>
                <w:color w:val="auto"/>
                <w:kern w:val="0"/>
                <w:sz w:val="21"/>
                <w:szCs w:val="21"/>
                <w:highlight w:val="none"/>
                <w:lang w:val="en-US" w:eastAsia="zh-CN" w:bidi="ar"/>
              </w:rPr>
              <w:t>1.63</w:t>
            </w:r>
          </w:p>
        </w:tc>
        <w:tc>
          <w:tcPr>
            <w:tcW w:w="146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line="240" w:lineRule="auto"/>
              <w:ind w:firstLine="420" w:firstLineChars="200"/>
              <w:jc w:val="both"/>
              <w:textAlignment w:val="auto"/>
              <w:rPr>
                <w:rFonts w:hint="eastAsia" w:ascii="Times New Roman" w:hAnsi="Times New Roman" w:eastAsia="宋体" w:cs="宋体"/>
                <w:color w:val="auto"/>
                <w:kern w:val="0"/>
                <w:sz w:val="21"/>
                <w:szCs w:val="21"/>
                <w:highlight w:val="none"/>
                <w:lang w:val="en-US" w:eastAsia="zh-CN" w:bidi="ar"/>
              </w:rPr>
            </w:pPr>
            <w:r>
              <w:rPr>
                <w:rFonts w:hint="eastAsia" w:eastAsia="宋体" w:cs="Times New Roman"/>
                <w:color w:val="auto"/>
                <w:kern w:val="0"/>
                <w:sz w:val="21"/>
                <w:szCs w:val="21"/>
                <w:highlight w:val="none"/>
                <w:lang w:val="en-US" w:eastAsia="zh-CN" w:bidi="ar"/>
              </w:rPr>
              <w:t>2.04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87"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宋体" w:cs="宋体"/>
                <w:color w:val="auto"/>
                <w:kern w:val="0"/>
                <w:sz w:val="21"/>
                <w:szCs w:val="21"/>
                <w:highlight w:val="none"/>
                <w:lang w:val="en-US" w:eastAsia="zh-CN" w:bidi="ar"/>
              </w:rPr>
            </w:pPr>
          </w:p>
        </w:tc>
        <w:tc>
          <w:tcPr>
            <w:tcW w:w="118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设计洪水位</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情况稳定渗流期</w:t>
            </w:r>
          </w:p>
        </w:tc>
        <w:tc>
          <w:tcPr>
            <w:tcW w:w="77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下游坝坡</w:t>
            </w:r>
          </w:p>
        </w:tc>
        <w:tc>
          <w:tcPr>
            <w:tcW w:w="81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1.25</w:t>
            </w:r>
          </w:p>
        </w:tc>
        <w:tc>
          <w:tcPr>
            <w:tcW w:w="1290" w:type="dxa"/>
            <w:tcBorders>
              <w:top w:val="single" w:color="auto" w:sz="4" w:space="0"/>
              <w:left w:val="single" w:color="auto" w:sz="4" w:space="0"/>
              <w:bottom w:val="single" w:color="auto" w:sz="4" w:space="0"/>
              <w:right w:val="single" w:color="auto" w:sz="4" w:space="0"/>
            </w:tcBorders>
            <w:noWrap w:val="0"/>
            <w:vAlign w:val="center"/>
          </w:tcPr>
          <w:p>
            <w:pPr>
              <w:widowControl w:val="0"/>
              <w:spacing w:line="240" w:lineRule="auto"/>
              <w:ind w:firstLine="420" w:firstLineChars="200"/>
              <w:jc w:val="both"/>
              <w:rPr>
                <w:rFonts w:hint="eastAsia" w:ascii="Times New Roman" w:hAnsi="Times New Roman" w:eastAsia="宋体" w:cs="宋体"/>
                <w:color w:val="auto"/>
                <w:kern w:val="0"/>
                <w:sz w:val="21"/>
                <w:szCs w:val="21"/>
                <w:highlight w:val="none"/>
                <w:lang w:val="en-US" w:eastAsia="zh-CN" w:bidi="ar"/>
              </w:rPr>
            </w:pPr>
            <w:r>
              <w:rPr>
                <w:rFonts w:hint="eastAsia" w:eastAsia="宋体" w:cs="Times New Roman"/>
                <w:color w:val="auto"/>
                <w:kern w:val="0"/>
                <w:sz w:val="21"/>
                <w:szCs w:val="21"/>
                <w:highlight w:val="none"/>
                <w:lang w:val="en-US" w:eastAsia="zh-CN" w:bidi="ar"/>
              </w:rPr>
              <w:t>1.47</w:t>
            </w:r>
          </w:p>
        </w:tc>
        <w:tc>
          <w:tcPr>
            <w:tcW w:w="146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line="240" w:lineRule="auto"/>
              <w:ind w:firstLine="420" w:firstLineChars="200"/>
              <w:jc w:val="both"/>
              <w:textAlignment w:val="auto"/>
              <w:rPr>
                <w:rFonts w:hint="eastAsia" w:ascii="Times New Roman" w:hAnsi="Times New Roman" w:eastAsia="宋体" w:cs="宋体"/>
                <w:color w:val="auto"/>
                <w:kern w:val="0"/>
                <w:sz w:val="21"/>
                <w:szCs w:val="21"/>
                <w:highlight w:val="none"/>
                <w:lang w:val="en-US" w:eastAsia="zh-CN" w:bidi="ar"/>
              </w:rPr>
            </w:pPr>
            <w:r>
              <w:rPr>
                <w:rFonts w:hint="eastAsia" w:eastAsia="宋体" w:cs="Times New Roman"/>
                <w:color w:val="auto"/>
                <w:kern w:val="0"/>
                <w:sz w:val="21"/>
                <w:szCs w:val="21"/>
                <w:highlight w:val="none"/>
                <w:lang w:val="en-US" w:eastAsia="zh-CN" w:bidi="ar"/>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87"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宋体" w:cs="宋体"/>
                <w:color w:val="auto"/>
                <w:kern w:val="0"/>
                <w:sz w:val="21"/>
                <w:szCs w:val="21"/>
                <w:highlight w:val="none"/>
                <w:lang w:val="en-US" w:eastAsia="zh-CN" w:bidi="ar"/>
              </w:rPr>
            </w:pPr>
          </w:p>
        </w:tc>
        <w:tc>
          <w:tcPr>
            <w:tcW w:w="118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设计洪水位</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降至死水位</w:t>
            </w:r>
          </w:p>
        </w:tc>
        <w:tc>
          <w:tcPr>
            <w:tcW w:w="77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宋体" w:cs="宋体"/>
                <w:color w:val="auto"/>
                <w:kern w:val="0"/>
                <w:sz w:val="21"/>
                <w:szCs w:val="21"/>
                <w:highlight w:val="none"/>
                <w:lang w:val="en-US" w:eastAsia="zh-CN" w:bidi="ar"/>
              </w:rPr>
            </w:pPr>
            <w:r>
              <w:rPr>
                <w:rFonts w:hint="eastAsia" w:eastAsia="宋体" w:cs="宋体"/>
                <w:color w:val="auto"/>
                <w:kern w:val="0"/>
                <w:sz w:val="21"/>
                <w:szCs w:val="21"/>
                <w:highlight w:val="none"/>
                <w:lang w:val="en-US" w:eastAsia="zh-CN" w:bidi="ar"/>
              </w:rPr>
              <w:t>上</w:t>
            </w:r>
            <w:r>
              <w:rPr>
                <w:rFonts w:hint="eastAsia" w:ascii="Times New Roman" w:hAnsi="Times New Roman" w:eastAsia="宋体" w:cs="宋体"/>
                <w:color w:val="auto"/>
                <w:kern w:val="0"/>
                <w:sz w:val="21"/>
                <w:szCs w:val="21"/>
                <w:highlight w:val="none"/>
                <w:lang w:val="en-US" w:eastAsia="zh-CN" w:bidi="ar"/>
              </w:rPr>
              <w:t>游坝坡</w:t>
            </w:r>
          </w:p>
        </w:tc>
        <w:tc>
          <w:tcPr>
            <w:tcW w:w="81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1.25</w:t>
            </w:r>
          </w:p>
        </w:tc>
        <w:tc>
          <w:tcPr>
            <w:tcW w:w="1290" w:type="dxa"/>
            <w:tcBorders>
              <w:top w:val="single" w:color="auto" w:sz="4" w:space="0"/>
              <w:left w:val="single" w:color="auto" w:sz="4" w:space="0"/>
              <w:bottom w:val="single" w:color="auto" w:sz="4" w:space="0"/>
              <w:right w:val="single" w:color="auto" w:sz="4" w:space="0"/>
            </w:tcBorders>
            <w:noWrap w:val="0"/>
            <w:vAlign w:val="center"/>
          </w:tcPr>
          <w:p>
            <w:pPr>
              <w:widowControl w:val="0"/>
              <w:spacing w:line="240" w:lineRule="auto"/>
              <w:ind w:firstLine="420" w:firstLineChars="200"/>
              <w:jc w:val="both"/>
              <w:rPr>
                <w:rFonts w:hint="eastAsia" w:ascii="Times New Roman" w:hAnsi="Times New Roman" w:eastAsia="宋体" w:cs="宋体"/>
                <w:color w:val="auto"/>
                <w:kern w:val="0"/>
                <w:sz w:val="21"/>
                <w:szCs w:val="21"/>
                <w:highlight w:val="none"/>
                <w:lang w:val="en-US" w:eastAsia="zh-CN" w:bidi="ar"/>
              </w:rPr>
            </w:pPr>
            <w:r>
              <w:rPr>
                <w:rFonts w:hint="eastAsia" w:eastAsia="宋体" w:cs="Times New Roman"/>
                <w:color w:val="auto"/>
                <w:kern w:val="0"/>
                <w:sz w:val="21"/>
                <w:szCs w:val="21"/>
                <w:highlight w:val="none"/>
                <w:lang w:val="en-US" w:eastAsia="zh-CN" w:bidi="ar"/>
              </w:rPr>
              <w:t>1.65</w:t>
            </w:r>
          </w:p>
        </w:tc>
        <w:tc>
          <w:tcPr>
            <w:tcW w:w="146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line="240" w:lineRule="auto"/>
              <w:ind w:firstLine="420" w:firstLineChars="200"/>
              <w:jc w:val="both"/>
              <w:textAlignment w:val="auto"/>
              <w:rPr>
                <w:rFonts w:hint="eastAsia" w:ascii="Times New Roman" w:hAnsi="Times New Roman" w:eastAsia="宋体" w:cs="宋体"/>
                <w:color w:val="auto"/>
                <w:kern w:val="0"/>
                <w:sz w:val="21"/>
                <w:szCs w:val="21"/>
                <w:highlight w:val="none"/>
                <w:lang w:val="en-US" w:eastAsia="zh-CN" w:bidi="ar"/>
              </w:rPr>
            </w:pPr>
            <w:r>
              <w:rPr>
                <w:rFonts w:hint="eastAsia" w:eastAsia="宋体" w:cs="Times New Roman"/>
                <w:color w:val="auto"/>
                <w:kern w:val="0"/>
                <w:sz w:val="21"/>
                <w:szCs w:val="21"/>
                <w:highlight w:val="none"/>
                <w:lang w:val="en-US" w:eastAsia="zh-CN" w:bidi="ar"/>
              </w:rPr>
              <w:t>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687" w:type="pct"/>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非常工作条件Ⅰ</w:t>
            </w:r>
          </w:p>
        </w:tc>
        <w:tc>
          <w:tcPr>
            <w:tcW w:w="1180" w:type="pct"/>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施工期(死水位情况)稳定渗流期</w:t>
            </w:r>
          </w:p>
        </w:tc>
        <w:tc>
          <w:tcPr>
            <w:tcW w:w="77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上游坝坡</w:t>
            </w:r>
          </w:p>
        </w:tc>
        <w:tc>
          <w:tcPr>
            <w:tcW w:w="81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1.25</w:t>
            </w:r>
          </w:p>
        </w:tc>
        <w:tc>
          <w:tcPr>
            <w:tcW w:w="1290" w:type="dxa"/>
            <w:tcBorders>
              <w:top w:val="single" w:color="auto" w:sz="4" w:space="0"/>
              <w:left w:val="single" w:color="auto" w:sz="4" w:space="0"/>
              <w:bottom w:val="single" w:color="auto" w:sz="4" w:space="0"/>
              <w:right w:val="single" w:color="auto" w:sz="4" w:space="0"/>
            </w:tcBorders>
            <w:noWrap w:val="0"/>
            <w:vAlign w:val="center"/>
          </w:tcPr>
          <w:p>
            <w:pPr>
              <w:widowControl w:val="0"/>
              <w:spacing w:line="240" w:lineRule="auto"/>
              <w:ind w:firstLine="420" w:firstLineChars="200"/>
              <w:jc w:val="both"/>
              <w:rPr>
                <w:rFonts w:hint="eastAsia" w:ascii="Times New Roman" w:hAnsi="Times New Roman" w:eastAsia="宋体" w:cs="宋体"/>
                <w:color w:val="auto"/>
                <w:kern w:val="0"/>
                <w:sz w:val="21"/>
                <w:szCs w:val="21"/>
                <w:highlight w:val="none"/>
                <w:lang w:val="en-US" w:eastAsia="zh-CN" w:bidi="ar"/>
              </w:rPr>
            </w:pPr>
            <w:r>
              <w:rPr>
                <w:rFonts w:hint="eastAsia" w:eastAsia="宋体" w:cs="Times New Roman"/>
                <w:color w:val="auto"/>
                <w:kern w:val="0"/>
                <w:sz w:val="21"/>
                <w:szCs w:val="21"/>
                <w:highlight w:val="none"/>
                <w:lang w:val="en-US" w:eastAsia="zh-CN" w:bidi="ar"/>
              </w:rPr>
              <w:t>1.73</w:t>
            </w:r>
          </w:p>
        </w:tc>
        <w:tc>
          <w:tcPr>
            <w:tcW w:w="146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line="240" w:lineRule="auto"/>
              <w:ind w:firstLine="420" w:firstLineChars="200"/>
              <w:jc w:val="both"/>
              <w:textAlignment w:val="auto"/>
              <w:rPr>
                <w:rFonts w:hint="eastAsia" w:ascii="Times New Roman" w:hAnsi="Times New Roman" w:eastAsia="宋体" w:cs="宋体"/>
                <w:color w:val="auto"/>
                <w:kern w:val="0"/>
                <w:sz w:val="21"/>
                <w:szCs w:val="21"/>
                <w:highlight w:val="none"/>
                <w:lang w:val="en-US" w:eastAsia="zh-CN" w:bidi="ar"/>
              </w:rPr>
            </w:pPr>
            <w:r>
              <w:rPr>
                <w:rFonts w:hint="eastAsia" w:eastAsia="宋体" w:cs="Times New Roman"/>
                <w:color w:val="auto"/>
                <w:kern w:val="0"/>
                <w:sz w:val="21"/>
                <w:szCs w:val="21"/>
                <w:highlight w:val="none"/>
                <w:lang w:val="en-US" w:eastAsia="zh-CN" w:bidi="ar"/>
              </w:rPr>
              <w:t>1.84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687"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宋体" w:cs="宋体"/>
                <w:color w:val="auto"/>
                <w:kern w:val="0"/>
                <w:sz w:val="21"/>
                <w:szCs w:val="21"/>
                <w:highlight w:val="none"/>
                <w:lang w:val="en-US" w:eastAsia="zh-CN" w:bidi="ar"/>
              </w:rPr>
            </w:pPr>
          </w:p>
        </w:tc>
        <w:tc>
          <w:tcPr>
            <w:tcW w:w="1180"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宋体" w:cs="宋体"/>
                <w:color w:val="auto"/>
                <w:kern w:val="0"/>
                <w:sz w:val="21"/>
                <w:szCs w:val="21"/>
                <w:highlight w:val="none"/>
                <w:lang w:val="en-US" w:eastAsia="zh-CN" w:bidi="ar"/>
              </w:rPr>
            </w:pPr>
          </w:p>
        </w:tc>
        <w:tc>
          <w:tcPr>
            <w:tcW w:w="77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下游坝坡</w:t>
            </w:r>
          </w:p>
        </w:tc>
        <w:tc>
          <w:tcPr>
            <w:tcW w:w="81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1.25</w:t>
            </w:r>
          </w:p>
        </w:tc>
        <w:tc>
          <w:tcPr>
            <w:tcW w:w="1290" w:type="dxa"/>
            <w:tcBorders>
              <w:top w:val="single" w:color="auto" w:sz="4" w:space="0"/>
              <w:left w:val="single" w:color="auto" w:sz="4" w:space="0"/>
              <w:bottom w:val="single" w:color="auto" w:sz="4" w:space="0"/>
              <w:right w:val="single" w:color="auto" w:sz="4" w:space="0"/>
            </w:tcBorders>
            <w:noWrap w:val="0"/>
            <w:vAlign w:val="center"/>
          </w:tcPr>
          <w:p>
            <w:pPr>
              <w:widowControl w:val="0"/>
              <w:spacing w:line="240" w:lineRule="auto"/>
              <w:ind w:firstLine="420" w:firstLineChars="200"/>
              <w:jc w:val="both"/>
              <w:rPr>
                <w:rFonts w:hint="eastAsia" w:ascii="Times New Roman" w:hAnsi="Times New Roman" w:eastAsia="宋体" w:cs="宋体"/>
                <w:color w:val="auto"/>
                <w:kern w:val="0"/>
                <w:sz w:val="21"/>
                <w:szCs w:val="21"/>
                <w:highlight w:val="none"/>
                <w:lang w:val="en-US" w:eastAsia="zh-CN" w:bidi="ar"/>
              </w:rPr>
            </w:pPr>
            <w:r>
              <w:rPr>
                <w:rFonts w:hint="eastAsia" w:eastAsia="宋体" w:cs="Times New Roman"/>
                <w:color w:val="auto"/>
                <w:kern w:val="0"/>
                <w:sz w:val="21"/>
                <w:szCs w:val="21"/>
                <w:highlight w:val="none"/>
                <w:lang w:val="en-US" w:eastAsia="zh-CN" w:bidi="ar"/>
              </w:rPr>
              <w:t>1.67</w:t>
            </w:r>
          </w:p>
        </w:tc>
        <w:tc>
          <w:tcPr>
            <w:tcW w:w="146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line="240" w:lineRule="auto"/>
              <w:ind w:firstLine="420" w:firstLineChars="200"/>
              <w:jc w:val="both"/>
              <w:textAlignment w:val="auto"/>
              <w:rPr>
                <w:rFonts w:hint="default" w:ascii="Times New Roman" w:hAnsi="Times New Roman" w:eastAsia="宋体" w:cs="宋体"/>
                <w:color w:val="auto"/>
                <w:kern w:val="0"/>
                <w:sz w:val="21"/>
                <w:szCs w:val="21"/>
                <w:highlight w:val="none"/>
                <w:lang w:val="en-US" w:eastAsia="zh-CN" w:bidi="ar"/>
              </w:rPr>
            </w:pPr>
            <w:r>
              <w:rPr>
                <w:rFonts w:hint="eastAsia" w:eastAsia="宋体" w:cs="Times New Roman"/>
                <w:color w:val="auto"/>
                <w:kern w:val="0"/>
                <w:sz w:val="21"/>
                <w:szCs w:val="21"/>
                <w:highlight w:val="none"/>
                <w:lang w:val="en-US" w:eastAsia="zh-CN" w:bidi="ar"/>
              </w:rPr>
              <w:t>2.17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87"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宋体" w:cs="宋体"/>
                <w:color w:val="auto"/>
                <w:kern w:val="0"/>
                <w:sz w:val="21"/>
                <w:szCs w:val="21"/>
                <w:highlight w:val="none"/>
                <w:lang w:val="en-US" w:eastAsia="zh-CN" w:bidi="ar"/>
              </w:rPr>
            </w:pPr>
          </w:p>
        </w:tc>
        <w:tc>
          <w:tcPr>
            <w:tcW w:w="118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校核洪水位情况稳定渗流期</w:t>
            </w:r>
          </w:p>
        </w:tc>
        <w:tc>
          <w:tcPr>
            <w:tcW w:w="77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下游坝坡</w:t>
            </w:r>
          </w:p>
        </w:tc>
        <w:tc>
          <w:tcPr>
            <w:tcW w:w="81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1.15</w:t>
            </w:r>
          </w:p>
        </w:tc>
        <w:tc>
          <w:tcPr>
            <w:tcW w:w="1290" w:type="dxa"/>
            <w:tcBorders>
              <w:top w:val="single" w:color="auto" w:sz="4" w:space="0"/>
              <w:left w:val="single" w:color="auto" w:sz="4" w:space="0"/>
              <w:bottom w:val="single" w:color="auto" w:sz="4" w:space="0"/>
              <w:right w:val="single" w:color="auto" w:sz="4" w:space="0"/>
            </w:tcBorders>
            <w:noWrap w:val="0"/>
            <w:vAlign w:val="center"/>
          </w:tcPr>
          <w:p>
            <w:pPr>
              <w:widowControl w:val="0"/>
              <w:spacing w:line="240" w:lineRule="auto"/>
              <w:ind w:firstLine="420" w:firstLineChars="200"/>
              <w:jc w:val="both"/>
              <w:rPr>
                <w:rFonts w:hint="eastAsia" w:ascii="Times New Roman" w:hAnsi="Times New Roman" w:eastAsia="宋体" w:cs="宋体"/>
                <w:color w:val="auto"/>
                <w:kern w:val="0"/>
                <w:sz w:val="21"/>
                <w:szCs w:val="21"/>
                <w:highlight w:val="none"/>
                <w:lang w:val="en-US" w:eastAsia="zh-CN" w:bidi="ar"/>
              </w:rPr>
            </w:pPr>
            <w:r>
              <w:rPr>
                <w:rFonts w:hint="eastAsia" w:eastAsia="宋体" w:cs="Times New Roman"/>
                <w:color w:val="auto"/>
                <w:kern w:val="0"/>
                <w:sz w:val="21"/>
                <w:szCs w:val="21"/>
                <w:highlight w:val="none"/>
                <w:lang w:val="en-US" w:eastAsia="zh-CN" w:bidi="ar"/>
              </w:rPr>
              <w:t>1.45</w:t>
            </w:r>
          </w:p>
        </w:tc>
        <w:tc>
          <w:tcPr>
            <w:tcW w:w="146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line="240" w:lineRule="auto"/>
              <w:ind w:firstLine="420" w:firstLineChars="200"/>
              <w:jc w:val="both"/>
              <w:textAlignment w:val="auto"/>
              <w:rPr>
                <w:rFonts w:hint="eastAsia" w:ascii="Times New Roman" w:hAnsi="Times New Roman" w:eastAsia="宋体" w:cs="宋体"/>
                <w:color w:val="auto"/>
                <w:kern w:val="0"/>
                <w:sz w:val="21"/>
                <w:szCs w:val="21"/>
                <w:highlight w:val="none"/>
                <w:lang w:val="en-US" w:eastAsia="zh-CN" w:bidi="ar"/>
              </w:rPr>
            </w:pPr>
            <w:r>
              <w:rPr>
                <w:rFonts w:hint="eastAsia" w:eastAsia="宋体" w:cs="Times New Roman"/>
                <w:color w:val="auto"/>
                <w:kern w:val="0"/>
                <w:sz w:val="21"/>
                <w:szCs w:val="21"/>
                <w:highlight w:val="none"/>
                <w:lang w:val="en-US" w:eastAsia="zh-CN" w:bidi="ar"/>
              </w:rPr>
              <w:t>1.99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87"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宋体" w:cs="宋体"/>
                <w:color w:val="auto"/>
                <w:kern w:val="0"/>
                <w:sz w:val="21"/>
                <w:szCs w:val="21"/>
                <w:highlight w:val="none"/>
                <w:lang w:val="en-US" w:eastAsia="zh-CN" w:bidi="ar"/>
              </w:rPr>
            </w:pPr>
          </w:p>
        </w:tc>
        <w:tc>
          <w:tcPr>
            <w:tcW w:w="118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校核洪水位</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降至死水位</w:t>
            </w:r>
          </w:p>
        </w:tc>
        <w:tc>
          <w:tcPr>
            <w:tcW w:w="77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宋体" w:cs="宋体"/>
                <w:color w:val="auto"/>
                <w:kern w:val="0"/>
                <w:sz w:val="21"/>
                <w:szCs w:val="21"/>
                <w:highlight w:val="none"/>
                <w:lang w:val="en-US" w:eastAsia="zh-CN" w:bidi="ar"/>
              </w:rPr>
            </w:pPr>
            <w:r>
              <w:rPr>
                <w:rFonts w:hint="eastAsia" w:eastAsia="宋体" w:cs="宋体"/>
                <w:color w:val="auto"/>
                <w:kern w:val="0"/>
                <w:sz w:val="21"/>
                <w:szCs w:val="21"/>
                <w:highlight w:val="none"/>
                <w:lang w:val="en-US" w:eastAsia="zh-CN" w:bidi="ar"/>
              </w:rPr>
              <w:t>下</w:t>
            </w:r>
            <w:r>
              <w:rPr>
                <w:rFonts w:hint="eastAsia" w:ascii="Times New Roman" w:hAnsi="Times New Roman" w:eastAsia="宋体" w:cs="宋体"/>
                <w:color w:val="auto"/>
                <w:kern w:val="0"/>
                <w:sz w:val="21"/>
                <w:szCs w:val="21"/>
                <w:highlight w:val="none"/>
                <w:lang w:val="en-US" w:eastAsia="zh-CN" w:bidi="ar"/>
              </w:rPr>
              <w:t>游坝坡</w:t>
            </w:r>
          </w:p>
        </w:tc>
        <w:tc>
          <w:tcPr>
            <w:tcW w:w="81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1.15</w:t>
            </w:r>
          </w:p>
        </w:tc>
        <w:tc>
          <w:tcPr>
            <w:tcW w:w="1290" w:type="dxa"/>
            <w:tcBorders>
              <w:top w:val="single" w:color="auto" w:sz="4" w:space="0"/>
              <w:left w:val="single" w:color="auto" w:sz="4" w:space="0"/>
              <w:bottom w:val="single" w:color="auto" w:sz="4" w:space="0"/>
              <w:right w:val="single" w:color="auto" w:sz="4" w:space="0"/>
            </w:tcBorders>
            <w:noWrap w:val="0"/>
            <w:vAlign w:val="center"/>
          </w:tcPr>
          <w:p>
            <w:pPr>
              <w:widowControl w:val="0"/>
              <w:spacing w:line="240" w:lineRule="auto"/>
              <w:ind w:firstLine="420" w:firstLineChars="200"/>
              <w:jc w:val="both"/>
              <w:rPr>
                <w:rFonts w:hint="eastAsia" w:ascii="Times New Roman" w:hAnsi="Times New Roman" w:eastAsia="宋体" w:cs="宋体"/>
                <w:color w:val="auto"/>
                <w:kern w:val="0"/>
                <w:sz w:val="21"/>
                <w:szCs w:val="21"/>
                <w:highlight w:val="none"/>
                <w:lang w:val="en-US" w:eastAsia="zh-CN" w:bidi="ar"/>
              </w:rPr>
            </w:pPr>
            <w:r>
              <w:rPr>
                <w:rFonts w:hint="eastAsia" w:eastAsia="宋体" w:cs="Times New Roman"/>
                <w:color w:val="auto"/>
                <w:sz w:val="21"/>
                <w:szCs w:val="21"/>
                <w:highlight w:val="none"/>
                <w:lang w:val="en-US" w:eastAsia="zh-CN" w:bidi="ar"/>
              </w:rPr>
              <w:t>1.64</w:t>
            </w:r>
          </w:p>
        </w:tc>
        <w:tc>
          <w:tcPr>
            <w:tcW w:w="146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line="240" w:lineRule="auto"/>
              <w:ind w:firstLine="420" w:firstLineChars="200"/>
              <w:jc w:val="both"/>
              <w:textAlignment w:val="auto"/>
              <w:rPr>
                <w:rFonts w:hint="default" w:ascii="Times New Roman" w:hAnsi="Times New Roman" w:eastAsia="宋体" w:cs="宋体"/>
                <w:color w:val="auto"/>
                <w:kern w:val="0"/>
                <w:sz w:val="21"/>
                <w:szCs w:val="21"/>
                <w:highlight w:val="none"/>
                <w:lang w:val="en-US" w:eastAsia="zh-CN" w:bidi="ar"/>
              </w:rPr>
            </w:pPr>
            <w:r>
              <w:rPr>
                <w:rFonts w:hint="eastAsia" w:eastAsia="宋体" w:cs="Times New Roman"/>
                <w:color w:val="auto"/>
                <w:sz w:val="21"/>
                <w:szCs w:val="21"/>
                <w:highlight w:val="none"/>
                <w:lang w:val="en-US" w:eastAsia="zh-CN" w:bidi="ar"/>
              </w:rPr>
              <w:t>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87" w:type="pct"/>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非常工作条件Ⅱ</w:t>
            </w:r>
          </w:p>
        </w:tc>
        <w:tc>
          <w:tcPr>
            <w:tcW w:w="1180" w:type="pct"/>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水库水位为正常蓄水位遇Ⅶ度地震的情况</w:t>
            </w:r>
          </w:p>
        </w:tc>
        <w:tc>
          <w:tcPr>
            <w:tcW w:w="77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上游坝坡</w:t>
            </w:r>
          </w:p>
        </w:tc>
        <w:tc>
          <w:tcPr>
            <w:tcW w:w="81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1.10</w:t>
            </w:r>
          </w:p>
        </w:tc>
        <w:tc>
          <w:tcPr>
            <w:tcW w:w="1290" w:type="dxa"/>
            <w:tcBorders>
              <w:top w:val="single" w:color="auto" w:sz="4" w:space="0"/>
              <w:left w:val="single" w:color="auto" w:sz="4" w:space="0"/>
              <w:bottom w:val="single" w:color="auto" w:sz="4" w:space="0"/>
              <w:right w:val="single" w:color="auto" w:sz="4" w:space="0"/>
            </w:tcBorders>
            <w:noWrap w:val="0"/>
            <w:vAlign w:val="center"/>
          </w:tcPr>
          <w:p>
            <w:pPr>
              <w:widowControl w:val="0"/>
              <w:spacing w:line="240" w:lineRule="auto"/>
              <w:ind w:firstLine="420" w:firstLineChars="200"/>
              <w:jc w:val="both"/>
              <w:rPr>
                <w:rFonts w:hint="default" w:ascii="Times New Roman" w:hAnsi="Times New Roman" w:eastAsia="宋体" w:cs="宋体"/>
                <w:color w:val="auto"/>
                <w:kern w:val="0"/>
                <w:sz w:val="21"/>
                <w:szCs w:val="21"/>
                <w:highlight w:val="none"/>
                <w:lang w:val="en-US" w:eastAsia="zh-CN" w:bidi="ar"/>
              </w:rPr>
            </w:pPr>
            <w:r>
              <w:rPr>
                <w:rFonts w:hint="default" w:eastAsia="宋体" w:cs="Times New Roman"/>
                <w:color w:val="auto"/>
                <w:sz w:val="21"/>
                <w:szCs w:val="21"/>
                <w:highlight w:val="none"/>
                <w:lang w:val="en-US" w:eastAsia="zh-CN"/>
              </w:rPr>
              <w:t>1.83</w:t>
            </w:r>
          </w:p>
        </w:tc>
        <w:tc>
          <w:tcPr>
            <w:tcW w:w="146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line="240" w:lineRule="auto"/>
              <w:ind w:firstLine="420" w:firstLineChars="200"/>
              <w:jc w:val="both"/>
              <w:textAlignment w:val="auto"/>
              <w:rPr>
                <w:rFonts w:hint="eastAsia" w:ascii="Times New Roman" w:hAnsi="Times New Roman" w:eastAsia="宋体" w:cs="宋体"/>
                <w:color w:val="auto"/>
                <w:kern w:val="0"/>
                <w:sz w:val="21"/>
                <w:szCs w:val="21"/>
                <w:highlight w:val="none"/>
                <w:lang w:val="en-US" w:eastAsia="zh-CN" w:bidi="ar"/>
              </w:rPr>
            </w:pPr>
            <w:r>
              <w:rPr>
                <w:rFonts w:hint="eastAsia" w:eastAsia="宋体" w:cs="Times New Roman"/>
                <w:color w:val="auto"/>
                <w:sz w:val="21"/>
                <w:szCs w:val="21"/>
                <w:highlight w:val="none"/>
                <w:lang w:val="en-US" w:eastAsia="zh-CN"/>
              </w:rPr>
              <w:t>1.85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87"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宋体" w:cs="宋体"/>
                <w:color w:val="auto"/>
                <w:kern w:val="0"/>
                <w:sz w:val="21"/>
                <w:szCs w:val="21"/>
                <w:highlight w:val="none"/>
                <w:lang w:val="en-US" w:eastAsia="zh-CN" w:bidi="ar"/>
              </w:rPr>
            </w:pPr>
          </w:p>
        </w:tc>
        <w:tc>
          <w:tcPr>
            <w:tcW w:w="1180"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宋体" w:cs="宋体"/>
                <w:color w:val="auto"/>
                <w:kern w:val="0"/>
                <w:sz w:val="21"/>
                <w:szCs w:val="21"/>
                <w:highlight w:val="none"/>
                <w:lang w:val="en-US" w:eastAsia="zh-CN" w:bidi="ar"/>
              </w:rPr>
            </w:pPr>
          </w:p>
        </w:tc>
        <w:tc>
          <w:tcPr>
            <w:tcW w:w="77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下游坝坡</w:t>
            </w:r>
          </w:p>
        </w:tc>
        <w:tc>
          <w:tcPr>
            <w:tcW w:w="81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1.10</w:t>
            </w:r>
          </w:p>
        </w:tc>
        <w:tc>
          <w:tcPr>
            <w:tcW w:w="1290" w:type="dxa"/>
            <w:tcBorders>
              <w:top w:val="single" w:color="auto" w:sz="4" w:space="0"/>
              <w:left w:val="single" w:color="auto" w:sz="4" w:space="0"/>
              <w:bottom w:val="single" w:color="auto" w:sz="4" w:space="0"/>
              <w:right w:val="single" w:color="auto" w:sz="4" w:space="0"/>
            </w:tcBorders>
            <w:noWrap w:val="0"/>
            <w:vAlign w:val="center"/>
          </w:tcPr>
          <w:p>
            <w:pPr>
              <w:widowControl w:val="0"/>
              <w:spacing w:line="240" w:lineRule="auto"/>
              <w:ind w:firstLine="420" w:firstLineChars="200"/>
              <w:jc w:val="both"/>
              <w:rPr>
                <w:rFonts w:hint="default" w:ascii="Times New Roman" w:hAnsi="Times New Roman" w:eastAsia="宋体" w:cs="宋体"/>
                <w:color w:val="auto"/>
                <w:kern w:val="0"/>
                <w:sz w:val="21"/>
                <w:szCs w:val="21"/>
                <w:highlight w:val="none"/>
                <w:lang w:val="en-US" w:eastAsia="zh-CN" w:bidi="ar"/>
              </w:rPr>
            </w:pPr>
            <w:r>
              <w:rPr>
                <w:rFonts w:hint="default" w:eastAsia="宋体" w:cs="Times New Roman"/>
                <w:color w:val="auto"/>
                <w:kern w:val="0"/>
                <w:sz w:val="21"/>
                <w:szCs w:val="21"/>
                <w:highlight w:val="none"/>
                <w:lang w:val="en-US" w:eastAsia="zh-CN" w:bidi="ar"/>
              </w:rPr>
              <w:t>1.14</w:t>
            </w:r>
          </w:p>
        </w:tc>
        <w:tc>
          <w:tcPr>
            <w:tcW w:w="146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line="240" w:lineRule="auto"/>
              <w:ind w:firstLine="420" w:firstLineChars="200"/>
              <w:jc w:val="both"/>
              <w:textAlignment w:val="auto"/>
              <w:rPr>
                <w:rFonts w:hint="eastAsia" w:ascii="Times New Roman" w:hAnsi="Times New Roman" w:eastAsia="宋体" w:cs="宋体"/>
                <w:color w:val="auto"/>
                <w:kern w:val="0"/>
                <w:sz w:val="21"/>
                <w:szCs w:val="21"/>
                <w:highlight w:val="none"/>
                <w:lang w:val="en-US" w:eastAsia="zh-CN" w:bidi="ar"/>
              </w:rPr>
            </w:pPr>
            <w:r>
              <w:rPr>
                <w:rFonts w:hint="eastAsia" w:eastAsia="宋体" w:cs="Times New Roman"/>
                <w:color w:val="auto"/>
                <w:kern w:val="0"/>
                <w:sz w:val="21"/>
                <w:szCs w:val="21"/>
                <w:highlight w:val="none"/>
                <w:lang w:val="en-US" w:eastAsia="zh-CN" w:bidi="ar"/>
              </w:rPr>
              <w:t>1.74</w:t>
            </w:r>
          </w:p>
        </w:tc>
      </w:tr>
    </w:tbl>
    <w:p>
      <w:pPr>
        <w:pStyle w:val="2"/>
        <w:ind w:left="0" w:leftChars="0" w:firstLine="0" w:firstLineChars="0"/>
        <w:rPr>
          <w:rFonts w:hint="eastAsia"/>
          <w:color w:val="auto"/>
          <w:highlight w:val="none"/>
          <w:lang w:val="en-US" w:eastAsia="zh-CN"/>
        </w:rPr>
      </w:pPr>
    </w:p>
    <w:p>
      <w:pPr>
        <w:pStyle w:val="5"/>
        <w:bidi w:val="0"/>
        <w:rPr>
          <w:rFonts w:hint="eastAsia"/>
          <w:color w:val="auto"/>
          <w:highlight w:val="none"/>
          <w:lang w:val="en-US" w:eastAsia="zh-CN"/>
        </w:rPr>
      </w:pPr>
      <w:bookmarkStart w:id="38" w:name="_Toc13131"/>
      <w:r>
        <w:rPr>
          <w:rFonts w:hint="eastAsia"/>
          <w:color w:val="auto"/>
          <w:highlight w:val="none"/>
          <w:lang w:val="en-US" w:eastAsia="zh-CN"/>
        </w:rPr>
        <w:t>1.5.4泄洪设施除险加固</w:t>
      </w:r>
      <w:bookmarkEnd w:id="38"/>
    </w:p>
    <w:p>
      <w:pPr>
        <w:bidi w:val="0"/>
        <w:rPr>
          <w:rFonts w:hint="eastAsia"/>
          <w:color w:val="auto"/>
          <w:highlight w:val="none"/>
          <w:lang w:val="en-US" w:eastAsia="zh-CN"/>
        </w:rPr>
      </w:pPr>
      <w:bookmarkStart w:id="39" w:name="_Toc11852"/>
      <w:r>
        <w:rPr>
          <w:rFonts w:hint="eastAsia"/>
          <w:color w:val="auto"/>
          <w:highlight w:val="none"/>
          <w:lang w:val="en-US" w:eastAsia="zh-CN"/>
        </w:rPr>
        <w:t>洋坑水库现状用于灌溉的涵管埋设于溢洪道泄槽段下，已堵塞失效，日常管理维护及其不便。本次加固拟于泄槽段新建C25钢筋砼渡槽将灌溉用水引至溢洪道右岸。</w:t>
      </w:r>
    </w:p>
    <w:p>
      <w:pPr>
        <w:pStyle w:val="2"/>
        <w:rPr>
          <w:rFonts w:hint="eastAsia" w:ascii="Times New Roman" w:hAnsi="Times New Roman" w:eastAsia="宋体" w:cs="Times New Roman"/>
          <w:color w:val="auto"/>
          <w:kern w:val="2"/>
          <w:sz w:val="24"/>
          <w:szCs w:val="24"/>
          <w:highlight w:val="none"/>
          <w:lang w:val="en-US" w:eastAsia="zh-CN" w:bidi="ar-SA"/>
        </w:rPr>
      </w:pPr>
      <w:r>
        <w:rPr>
          <w:rFonts w:hint="eastAsia" w:ascii="Times New Roman" w:hAnsi="Times New Roman" w:eastAsia="宋体" w:cs="Times New Roman"/>
          <w:color w:val="auto"/>
          <w:kern w:val="2"/>
          <w:sz w:val="24"/>
          <w:szCs w:val="24"/>
          <w:highlight w:val="none"/>
          <w:lang w:val="en-US" w:eastAsia="zh-CN" w:bidi="ar-SA"/>
        </w:rPr>
        <w:t>本次加固拟拆除挑流鼻坎改建为消力池及海漫。为与现状泄槽段及下游地形衔接，拟于Y0+177.17~Y0+207.23范围内新建泄槽段。</w:t>
      </w:r>
    </w:p>
    <w:p>
      <w:pPr>
        <w:rPr>
          <w:rFonts w:hint="eastAsia"/>
          <w:color w:val="auto"/>
          <w:highlight w:val="none"/>
          <w:lang w:val="en-US" w:eastAsia="zh-CN"/>
        </w:rPr>
      </w:pPr>
      <w:r>
        <w:rPr>
          <w:rFonts w:hint="default" w:ascii="Times New Roman" w:hAnsi="Times New Roman" w:eastAsia="宋体" w:cs="Times New Roman"/>
          <w:color w:val="auto"/>
          <w:kern w:val="2"/>
          <w:sz w:val="24"/>
          <w:szCs w:val="22"/>
          <w:highlight w:val="none"/>
          <w:lang w:val="en-US" w:eastAsia="zh-CN" w:bidi="ar-SA"/>
        </w:rPr>
        <w:t>本次</w:t>
      </w:r>
      <w:r>
        <w:rPr>
          <w:rFonts w:hint="eastAsia" w:ascii="Times New Roman" w:hAnsi="Times New Roman" w:cs="Times New Roman"/>
          <w:color w:val="auto"/>
          <w:kern w:val="2"/>
          <w:sz w:val="24"/>
          <w:szCs w:val="22"/>
          <w:highlight w:val="none"/>
          <w:lang w:val="en-US" w:eastAsia="zh-CN" w:bidi="ar-SA"/>
        </w:rPr>
        <w:t>加固</w:t>
      </w:r>
      <w:r>
        <w:rPr>
          <w:rFonts w:hint="default" w:ascii="Times New Roman" w:hAnsi="Times New Roman" w:eastAsia="宋体" w:cs="Times New Roman"/>
          <w:color w:val="auto"/>
          <w:kern w:val="2"/>
          <w:sz w:val="24"/>
          <w:szCs w:val="22"/>
          <w:highlight w:val="none"/>
          <w:lang w:val="en-US" w:eastAsia="zh-CN" w:bidi="ar-SA"/>
        </w:rPr>
        <w:t>设计消力池长</w:t>
      </w:r>
      <w:r>
        <w:rPr>
          <w:rFonts w:hint="eastAsia" w:eastAsia="宋体" w:cs="Times New Roman"/>
          <w:color w:val="auto"/>
          <w:kern w:val="2"/>
          <w:sz w:val="24"/>
          <w:szCs w:val="22"/>
          <w:highlight w:val="none"/>
          <w:lang w:val="en-US" w:eastAsia="zh-CN" w:bidi="ar-SA"/>
        </w:rPr>
        <w:t>30</w:t>
      </w:r>
      <w:r>
        <w:rPr>
          <w:rFonts w:hint="default" w:ascii="Times New Roman" w:hAnsi="Times New Roman" w:eastAsia="宋体" w:cs="Times New Roman"/>
          <w:color w:val="auto"/>
          <w:kern w:val="2"/>
          <w:sz w:val="24"/>
          <w:szCs w:val="22"/>
          <w:highlight w:val="none"/>
          <w:lang w:val="en-US" w:eastAsia="zh-CN" w:bidi="ar-SA"/>
        </w:rPr>
        <w:t>m，两边C</w:t>
      </w:r>
      <w:r>
        <w:rPr>
          <w:rFonts w:hint="eastAsia" w:eastAsia="宋体" w:cs="Times New Roman"/>
          <w:color w:val="auto"/>
          <w:kern w:val="2"/>
          <w:sz w:val="24"/>
          <w:szCs w:val="22"/>
          <w:highlight w:val="none"/>
          <w:lang w:val="en-US" w:eastAsia="zh-CN" w:bidi="ar-SA"/>
        </w:rPr>
        <w:t>20素</w:t>
      </w:r>
      <w:r>
        <w:rPr>
          <w:rFonts w:hint="default" w:ascii="Times New Roman" w:hAnsi="Times New Roman" w:eastAsia="宋体" w:cs="Times New Roman"/>
          <w:color w:val="auto"/>
          <w:kern w:val="2"/>
          <w:sz w:val="24"/>
          <w:szCs w:val="22"/>
          <w:highlight w:val="none"/>
          <w:lang w:val="en-US" w:eastAsia="zh-CN" w:bidi="ar-SA"/>
        </w:rPr>
        <w:t>砼侧墙高</w:t>
      </w:r>
      <w:r>
        <w:rPr>
          <w:rFonts w:hint="eastAsia" w:eastAsia="宋体" w:cs="Times New Roman"/>
          <w:color w:val="auto"/>
          <w:kern w:val="2"/>
          <w:sz w:val="24"/>
          <w:szCs w:val="22"/>
          <w:highlight w:val="none"/>
          <w:lang w:val="en-US" w:eastAsia="zh-CN" w:bidi="ar-SA"/>
        </w:rPr>
        <w:t>6.1</w:t>
      </w:r>
      <w:r>
        <w:rPr>
          <w:rFonts w:hint="default" w:ascii="Times New Roman" w:hAnsi="Times New Roman" w:eastAsia="宋体" w:cs="Times New Roman"/>
          <w:color w:val="auto"/>
          <w:kern w:val="2"/>
          <w:sz w:val="24"/>
          <w:szCs w:val="22"/>
          <w:highlight w:val="none"/>
          <w:lang w:val="en-US" w:eastAsia="zh-CN" w:bidi="ar-SA"/>
        </w:rPr>
        <w:t>m，C30钢筋砼底板</w:t>
      </w:r>
      <w:r>
        <w:rPr>
          <w:rFonts w:hint="eastAsia" w:eastAsia="宋体" w:cs="Times New Roman"/>
          <w:color w:val="auto"/>
          <w:kern w:val="2"/>
          <w:sz w:val="24"/>
          <w:szCs w:val="22"/>
          <w:highlight w:val="none"/>
          <w:lang w:val="en-US" w:eastAsia="zh-CN" w:bidi="ar-SA"/>
        </w:rPr>
        <w:t>前半部分(上游侧)</w:t>
      </w:r>
      <w:r>
        <w:rPr>
          <w:rFonts w:hint="default" w:ascii="Times New Roman" w:hAnsi="Times New Roman" w:eastAsia="宋体" w:cs="Times New Roman"/>
          <w:color w:val="auto"/>
          <w:kern w:val="2"/>
          <w:sz w:val="24"/>
          <w:szCs w:val="22"/>
          <w:highlight w:val="none"/>
          <w:lang w:val="en-US" w:eastAsia="zh-CN" w:bidi="ar-SA"/>
        </w:rPr>
        <w:t>厚</w:t>
      </w:r>
      <w:r>
        <w:rPr>
          <w:rFonts w:hint="eastAsia" w:eastAsia="宋体" w:cs="Times New Roman"/>
          <w:color w:val="auto"/>
          <w:kern w:val="2"/>
          <w:sz w:val="24"/>
          <w:szCs w:val="22"/>
          <w:highlight w:val="none"/>
          <w:lang w:val="en-US" w:eastAsia="zh-CN" w:bidi="ar-SA"/>
        </w:rPr>
        <w:t>1.0</w:t>
      </w:r>
      <w:r>
        <w:rPr>
          <w:rFonts w:hint="default" w:ascii="Times New Roman" w:hAnsi="Times New Roman" w:eastAsia="宋体" w:cs="Times New Roman"/>
          <w:color w:val="auto"/>
          <w:kern w:val="2"/>
          <w:sz w:val="24"/>
          <w:szCs w:val="22"/>
          <w:highlight w:val="none"/>
          <w:lang w:val="en-US" w:eastAsia="zh-CN" w:bidi="ar-SA"/>
        </w:rPr>
        <w:t>m，</w:t>
      </w:r>
      <w:r>
        <w:rPr>
          <w:rFonts w:hint="eastAsia" w:eastAsia="宋体" w:cs="Times New Roman"/>
          <w:color w:val="auto"/>
          <w:kern w:val="2"/>
          <w:sz w:val="24"/>
          <w:szCs w:val="22"/>
          <w:highlight w:val="none"/>
          <w:lang w:val="en-US" w:eastAsia="zh-CN" w:bidi="ar-SA"/>
        </w:rPr>
        <w:t>后半部分厚0.8m</w:t>
      </w:r>
      <w:r>
        <w:rPr>
          <w:rFonts w:hint="default" w:ascii="Times New Roman" w:hAnsi="Times New Roman" w:eastAsia="宋体" w:cs="Times New Roman"/>
          <w:color w:val="auto"/>
          <w:kern w:val="2"/>
          <w:sz w:val="24"/>
          <w:szCs w:val="22"/>
          <w:highlight w:val="none"/>
          <w:lang w:val="en-US" w:eastAsia="zh-CN" w:bidi="ar-SA"/>
        </w:rPr>
        <w:t>底部为C15砼垫层厚100mm和碎石、粗砂垫层各200mm厚。底板设置</w:t>
      </w:r>
      <w:r>
        <w:rPr>
          <w:rFonts w:hint="eastAsia" w:ascii="SJQY" w:hAnsi="SJQY" w:eastAsia="SJQY" w:cs="SJQY"/>
          <w:color w:val="auto"/>
          <w:kern w:val="2"/>
          <w:sz w:val="24"/>
          <w:szCs w:val="22"/>
          <w:highlight w:val="none"/>
          <w:lang w:val="en-US" w:eastAsia="zh-CN" w:bidi="ar-SA"/>
        </w:rPr>
        <w:t>A</w:t>
      </w:r>
      <w:r>
        <w:rPr>
          <w:rFonts w:hint="default" w:ascii="Times New Roman" w:hAnsi="Times New Roman" w:eastAsia="宋体" w:cs="Times New Roman"/>
          <w:color w:val="auto"/>
          <w:kern w:val="2"/>
          <w:sz w:val="24"/>
          <w:szCs w:val="22"/>
          <w:highlight w:val="none"/>
          <w:lang w:val="en-US" w:eastAsia="zh-CN" w:bidi="ar-SA"/>
        </w:rPr>
        <w:t>50PV</w:t>
      </w:r>
      <w:r>
        <w:rPr>
          <w:rFonts w:hint="eastAsia" w:eastAsia="宋体" w:cs="Times New Roman"/>
          <w:color w:val="auto"/>
          <w:kern w:val="2"/>
          <w:sz w:val="24"/>
          <w:szCs w:val="22"/>
          <w:highlight w:val="none"/>
          <w:lang w:val="en-US" w:eastAsia="zh-CN" w:bidi="ar-SA"/>
        </w:rPr>
        <w:t>C</w:t>
      </w:r>
      <w:r>
        <w:rPr>
          <w:rFonts w:hint="default" w:ascii="Times New Roman" w:hAnsi="Times New Roman" w:eastAsia="宋体" w:cs="Times New Roman"/>
          <w:color w:val="auto"/>
          <w:kern w:val="2"/>
          <w:sz w:val="24"/>
          <w:szCs w:val="22"/>
          <w:highlight w:val="none"/>
          <w:lang w:val="en-US" w:eastAsia="zh-CN" w:bidi="ar-SA"/>
        </w:rPr>
        <w:t>排水管，间距1.5m，底部排水管口设置土工布反滤包。消力池出口段C30钢筋砼侧墙高</w:t>
      </w:r>
      <w:r>
        <w:rPr>
          <w:rFonts w:hint="eastAsia" w:eastAsia="宋体" w:cs="Times New Roman"/>
          <w:color w:val="auto"/>
          <w:kern w:val="2"/>
          <w:sz w:val="24"/>
          <w:szCs w:val="22"/>
          <w:highlight w:val="none"/>
          <w:lang w:val="en-US" w:eastAsia="zh-CN" w:bidi="ar-SA"/>
        </w:rPr>
        <w:t>3.0</w:t>
      </w:r>
      <w:r>
        <w:rPr>
          <w:rFonts w:hint="default" w:ascii="Times New Roman" w:hAnsi="Times New Roman" w:eastAsia="宋体" w:cs="Times New Roman"/>
          <w:color w:val="auto"/>
          <w:kern w:val="2"/>
          <w:sz w:val="24"/>
          <w:szCs w:val="22"/>
          <w:highlight w:val="none"/>
          <w:lang w:val="en-US" w:eastAsia="zh-CN" w:bidi="ar-SA"/>
        </w:rPr>
        <w:t>m，</w:t>
      </w:r>
      <w:r>
        <w:rPr>
          <w:rFonts w:hint="eastAsia" w:eastAsia="宋体" w:cs="Times New Roman"/>
          <w:color w:val="auto"/>
          <w:kern w:val="2"/>
          <w:sz w:val="24"/>
          <w:szCs w:val="22"/>
          <w:highlight w:val="none"/>
          <w:lang w:val="en-US" w:eastAsia="zh-CN" w:bidi="ar-SA"/>
        </w:rPr>
        <w:t>干砌块石</w:t>
      </w:r>
      <w:r>
        <w:rPr>
          <w:rFonts w:hint="default" w:ascii="Times New Roman" w:hAnsi="Times New Roman" w:eastAsia="宋体" w:cs="Times New Roman"/>
          <w:color w:val="auto"/>
          <w:kern w:val="2"/>
          <w:sz w:val="24"/>
          <w:szCs w:val="22"/>
          <w:highlight w:val="none"/>
          <w:lang w:val="en-US" w:eastAsia="zh-CN" w:bidi="ar-SA"/>
        </w:rPr>
        <w:t>底板厚</w:t>
      </w:r>
      <w:r>
        <w:rPr>
          <w:rFonts w:hint="eastAsia" w:eastAsia="宋体" w:cs="Times New Roman"/>
          <w:color w:val="auto"/>
          <w:kern w:val="2"/>
          <w:sz w:val="24"/>
          <w:szCs w:val="22"/>
          <w:highlight w:val="none"/>
          <w:lang w:val="en-US" w:eastAsia="zh-CN" w:bidi="ar-SA"/>
        </w:rPr>
        <w:t>0.8</w:t>
      </w:r>
      <w:r>
        <w:rPr>
          <w:rFonts w:hint="default" w:ascii="Times New Roman" w:hAnsi="Times New Roman" w:eastAsia="宋体" w:cs="Times New Roman"/>
          <w:color w:val="auto"/>
          <w:kern w:val="2"/>
          <w:sz w:val="24"/>
          <w:szCs w:val="22"/>
          <w:highlight w:val="none"/>
          <w:lang w:val="en-US" w:eastAsia="zh-CN" w:bidi="ar-SA"/>
        </w:rPr>
        <w:t>m。</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0"/>
        <w:textAlignment w:val="auto"/>
        <w:rPr>
          <w:color w:val="auto"/>
          <w:sz w:val="24"/>
          <w:szCs w:val="24"/>
          <w:highlight w:val="none"/>
        </w:rPr>
      </w:pPr>
      <w:r>
        <w:rPr>
          <w:color w:val="auto"/>
          <w:sz w:val="24"/>
          <w:szCs w:val="24"/>
          <w:highlight w:val="none"/>
        </w:rPr>
        <w:t>根据《溢洪道设计规范》（SL253-2018），边墙稳定复核采用《北京理正岩土计算》软件计算，选择最不利的计算工况进行计算，溢洪道边墙计算过程见附录1，计算结果及安全系数允许值见表</w:t>
      </w:r>
      <w:r>
        <w:rPr>
          <w:rFonts w:hint="eastAsia"/>
          <w:color w:val="auto"/>
          <w:sz w:val="24"/>
          <w:szCs w:val="24"/>
          <w:highlight w:val="none"/>
          <w:lang w:val="en-US" w:eastAsia="zh-CN"/>
        </w:rPr>
        <w:t>1.5-2</w:t>
      </w:r>
      <w:r>
        <w:rPr>
          <w:color w:val="auto"/>
          <w:sz w:val="24"/>
          <w:szCs w:val="24"/>
          <w:highlight w:val="none"/>
        </w:rPr>
        <w:t>。</w:t>
      </w:r>
    </w:p>
    <w:p>
      <w:pPr>
        <w:pStyle w:val="73"/>
        <w:ind w:firstLine="482"/>
        <w:jc w:val="center"/>
        <w:rPr>
          <w:rFonts w:hint="default" w:ascii="Times New Roman" w:hAnsi="Times New Roman" w:eastAsia="宋体" w:cs="Times New Roman"/>
          <w:b w:val="0"/>
          <w:bCs/>
          <w:color w:val="auto"/>
          <w:sz w:val="24"/>
          <w:szCs w:val="24"/>
          <w:highlight w:val="none"/>
          <w:lang w:val="en-US" w:eastAsia="zh-CN"/>
        </w:rPr>
      </w:pPr>
      <w:r>
        <w:rPr>
          <w:rFonts w:hint="default" w:ascii="Times New Roman" w:hAnsi="Times New Roman" w:eastAsia="宋体" w:cs="Times New Roman"/>
          <w:b w:val="0"/>
          <w:bCs/>
          <w:color w:val="auto"/>
          <w:sz w:val="24"/>
          <w:szCs w:val="24"/>
          <w:highlight w:val="none"/>
          <w:lang w:val="en-US" w:eastAsia="zh-CN"/>
        </w:rPr>
        <w:t>表</w:t>
      </w:r>
      <w:r>
        <w:rPr>
          <w:rFonts w:hint="eastAsia" w:ascii="Times New Roman" w:hAnsi="Times New Roman" w:eastAsia="宋体" w:cs="Times New Roman"/>
          <w:b w:val="0"/>
          <w:bCs/>
          <w:color w:val="auto"/>
          <w:sz w:val="24"/>
          <w:szCs w:val="24"/>
          <w:highlight w:val="none"/>
          <w:lang w:val="en-US" w:eastAsia="zh-CN"/>
        </w:rPr>
        <w:t>1.5-2</w:t>
      </w:r>
      <w:r>
        <w:rPr>
          <w:rFonts w:hint="default" w:ascii="Times New Roman" w:hAnsi="Times New Roman" w:eastAsia="宋体" w:cs="Times New Roman"/>
          <w:b w:val="0"/>
          <w:bCs/>
          <w:color w:val="auto"/>
          <w:sz w:val="24"/>
          <w:szCs w:val="24"/>
          <w:highlight w:val="none"/>
          <w:lang w:val="en-US" w:eastAsia="zh-CN"/>
        </w:rPr>
        <w:t xml:space="preserve"> </w:t>
      </w:r>
      <w:r>
        <w:rPr>
          <w:rFonts w:hint="eastAsia" w:ascii="Times New Roman" w:hAnsi="Times New Roman" w:eastAsia="宋体" w:cs="Times New Roman"/>
          <w:b w:val="0"/>
          <w:bCs/>
          <w:color w:val="auto"/>
          <w:sz w:val="24"/>
          <w:szCs w:val="24"/>
          <w:highlight w:val="none"/>
          <w:lang w:val="en-US" w:eastAsia="zh-CN"/>
        </w:rPr>
        <w:t xml:space="preserve"> </w:t>
      </w:r>
      <w:r>
        <w:rPr>
          <w:rFonts w:hint="default" w:ascii="Times New Roman" w:hAnsi="Times New Roman" w:eastAsia="宋体" w:cs="Times New Roman"/>
          <w:b w:val="0"/>
          <w:bCs/>
          <w:color w:val="auto"/>
          <w:sz w:val="24"/>
          <w:szCs w:val="24"/>
          <w:highlight w:val="none"/>
          <w:lang w:val="en-US" w:eastAsia="zh-CN"/>
        </w:rPr>
        <w:t>边墙稳定计算成果表</w:t>
      </w:r>
    </w:p>
    <w:tbl>
      <w:tblPr>
        <w:tblStyle w:val="2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12"/>
        <w:gridCol w:w="1433"/>
        <w:gridCol w:w="1440"/>
        <w:gridCol w:w="1747"/>
        <w:gridCol w:w="14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5" w:hRule="atLeast"/>
          <w:jc w:val="center"/>
        </w:trPr>
        <w:tc>
          <w:tcPr>
            <w:tcW w:w="1415" w:type="pct"/>
            <w:noWrap w:val="0"/>
            <w:vAlign w:val="center"/>
          </w:tcPr>
          <w:p>
            <w:pPr>
              <w:widowControl/>
              <w:spacing w:line="240" w:lineRule="auto"/>
              <w:ind w:firstLine="0" w:firstLineChars="0"/>
              <w:jc w:val="center"/>
              <w:rPr>
                <w:rFonts w:hint="eastAsia"/>
                <w:color w:val="auto"/>
                <w:kern w:val="0"/>
                <w:sz w:val="21"/>
                <w:szCs w:val="21"/>
                <w:highlight w:val="none"/>
              </w:rPr>
            </w:pPr>
            <w:r>
              <w:rPr>
                <w:rFonts w:hint="eastAsia"/>
                <w:color w:val="auto"/>
                <w:kern w:val="0"/>
                <w:sz w:val="21"/>
                <w:szCs w:val="21"/>
                <w:highlight w:val="none"/>
              </w:rPr>
              <w:t>计算工况</w:t>
            </w:r>
          </w:p>
        </w:tc>
        <w:tc>
          <w:tcPr>
            <w:tcW w:w="841" w:type="pct"/>
            <w:noWrap w:val="0"/>
            <w:vAlign w:val="center"/>
          </w:tcPr>
          <w:p>
            <w:pPr>
              <w:widowControl/>
              <w:spacing w:line="240" w:lineRule="auto"/>
              <w:ind w:firstLine="0" w:firstLineChars="0"/>
              <w:jc w:val="center"/>
              <w:rPr>
                <w:color w:val="auto"/>
                <w:kern w:val="0"/>
                <w:sz w:val="21"/>
                <w:szCs w:val="21"/>
                <w:highlight w:val="none"/>
              </w:rPr>
            </w:pPr>
            <w:r>
              <w:rPr>
                <w:color w:val="auto"/>
                <w:kern w:val="0"/>
                <w:sz w:val="21"/>
                <w:szCs w:val="21"/>
                <w:highlight w:val="none"/>
              </w:rPr>
              <w:t>抗滑稳定系数K</w:t>
            </w:r>
            <w:r>
              <w:rPr>
                <w:color w:val="auto"/>
                <w:kern w:val="0"/>
                <w:sz w:val="21"/>
                <w:szCs w:val="21"/>
                <w:highlight w:val="none"/>
                <w:vertAlign w:val="subscript"/>
              </w:rPr>
              <w:t>c</w:t>
            </w:r>
          </w:p>
        </w:tc>
        <w:tc>
          <w:tcPr>
            <w:tcW w:w="845" w:type="pct"/>
            <w:noWrap w:val="0"/>
            <w:vAlign w:val="center"/>
          </w:tcPr>
          <w:p>
            <w:pPr>
              <w:widowControl/>
              <w:spacing w:line="240" w:lineRule="auto"/>
              <w:ind w:firstLine="0" w:firstLineChars="0"/>
              <w:jc w:val="center"/>
              <w:rPr>
                <w:color w:val="auto"/>
                <w:kern w:val="0"/>
                <w:sz w:val="21"/>
                <w:szCs w:val="21"/>
                <w:highlight w:val="none"/>
              </w:rPr>
            </w:pPr>
            <w:r>
              <w:rPr>
                <w:color w:val="auto"/>
                <w:kern w:val="0"/>
                <w:sz w:val="21"/>
                <w:szCs w:val="21"/>
                <w:highlight w:val="none"/>
              </w:rPr>
              <w:t>抗倾稳定系数K</w:t>
            </w:r>
            <w:r>
              <w:rPr>
                <w:color w:val="auto"/>
                <w:kern w:val="0"/>
                <w:sz w:val="21"/>
                <w:szCs w:val="21"/>
                <w:highlight w:val="none"/>
                <w:vertAlign w:val="subscript"/>
              </w:rPr>
              <w:t>o</w:t>
            </w:r>
          </w:p>
        </w:tc>
        <w:tc>
          <w:tcPr>
            <w:tcW w:w="1025" w:type="pct"/>
            <w:noWrap w:val="0"/>
            <w:vAlign w:val="center"/>
          </w:tcPr>
          <w:p>
            <w:pPr>
              <w:widowControl/>
              <w:spacing w:line="240" w:lineRule="auto"/>
              <w:ind w:firstLine="0" w:firstLineChars="0"/>
              <w:jc w:val="center"/>
              <w:rPr>
                <w:color w:val="auto"/>
                <w:kern w:val="0"/>
                <w:sz w:val="21"/>
                <w:szCs w:val="21"/>
                <w:highlight w:val="none"/>
              </w:rPr>
            </w:pPr>
            <w:r>
              <w:rPr>
                <w:color w:val="auto"/>
                <w:kern w:val="0"/>
                <w:sz w:val="21"/>
                <w:szCs w:val="21"/>
                <w:highlight w:val="none"/>
              </w:rPr>
              <w:t>地基平均承载力（kPa)</w:t>
            </w:r>
          </w:p>
        </w:tc>
        <w:tc>
          <w:tcPr>
            <w:tcW w:w="872" w:type="pct"/>
            <w:noWrap w:val="0"/>
            <w:vAlign w:val="center"/>
          </w:tcPr>
          <w:p>
            <w:pPr>
              <w:widowControl/>
              <w:spacing w:line="240" w:lineRule="auto"/>
              <w:ind w:firstLine="0" w:firstLineChars="0"/>
              <w:jc w:val="center"/>
              <w:rPr>
                <w:color w:val="auto"/>
                <w:kern w:val="0"/>
                <w:sz w:val="21"/>
                <w:szCs w:val="21"/>
                <w:highlight w:val="none"/>
              </w:rPr>
            </w:pPr>
            <w:r>
              <w:rPr>
                <w:color w:val="auto"/>
                <w:kern w:val="0"/>
                <w:sz w:val="21"/>
                <w:szCs w:val="21"/>
                <w:highlight w:val="none"/>
              </w:rPr>
              <w:t>是否满足规范要求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415" w:type="pct"/>
            <w:noWrap w:val="0"/>
            <w:vAlign w:val="center"/>
          </w:tcPr>
          <w:p>
            <w:pPr>
              <w:widowControl/>
              <w:spacing w:line="240" w:lineRule="auto"/>
              <w:ind w:firstLine="0" w:firstLineChars="0"/>
              <w:jc w:val="center"/>
              <w:rPr>
                <w:rFonts w:hint="eastAsia"/>
                <w:color w:val="auto"/>
                <w:kern w:val="0"/>
                <w:sz w:val="21"/>
                <w:szCs w:val="21"/>
                <w:highlight w:val="none"/>
              </w:rPr>
            </w:pPr>
            <w:r>
              <w:rPr>
                <w:rFonts w:hint="eastAsia"/>
                <w:color w:val="auto"/>
                <w:kern w:val="0"/>
                <w:sz w:val="21"/>
                <w:szCs w:val="21"/>
                <w:highlight w:val="none"/>
                <w:lang w:val="en-US" w:eastAsia="zh-CN"/>
              </w:rPr>
              <w:t>枯水期</w:t>
            </w:r>
            <w:r>
              <w:rPr>
                <w:rFonts w:hint="eastAsia"/>
                <w:color w:val="auto"/>
                <w:kern w:val="0"/>
                <w:sz w:val="21"/>
                <w:szCs w:val="21"/>
                <w:highlight w:val="none"/>
              </w:rPr>
              <w:t>工况</w:t>
            </w:r>
          </w:p>
        </w:tc>
        <w:tc>
          <w:tcPr>
            <w:tcW w:w="1433" w:type="dxa"/>
            <w:noWrap w:val="0"/>
            <w:vAlign w:val="center"/>
          </w:tcPr>
          <w:p>
            <w:pPr>
              <w:widowControl/>
              <w:spacing w:line="240" w:lineRule="auto"/>
              <w:ind w:firstLine="0" w:firstLineChars="0"/>
              <w:jc w:val="center"/>
              <w:rPr>
                <w:color w:val="auto"/>
                <w:kern w:val="0"/>
                <w:sz w:val="21"/>
                <w:szCs w:val="21"/>
                <w:highlight w:val="none"/>
              </w:rPr>
            </w:pPr>
            <w:r>
              <w:rPr>
                <w:rFonts w:hint="eastAsia"/>
                <w:color w:val="auto"/>
                <w:kern w:val="0"/>
                <w:sz w:val="21"/>
                <w:szCs w:val="21"/>
                <w:highlight w:val="none"/>
                <w:lang w:val="en-US" w:eastAsia="zh-CN"/>
              </w:rPr>
              <w:t>1.401</w:t>
            </w:r>
            <w:r>
              <w:rPr>
                <w:color w:val="auto"/>
                <w:kern w:val="0"/>
                <w:sz w:val="21"/>
                <w:szCs w:val="21"/>
                <w:highlight w:val="none"/>
              </w:rPr>
              <w:t>＞1.</w:t>
            </w:r>
            <w:r>
              <w:rPr>
                <w:rFonts w:hint="eastAsia"/>
                <w:color w:val="auto"/>
                <w:kern w:val="0"/>
                <w:sz w:val="21"/>
                <w:szCs w:val="21"/>
                <w:highlight w:val="none"/>
              </w:rPr>
              <w:t>2</w:t>
            </w:r>
          </w:p>
        </w:tc>
        <w:tc>
          <w:tcPr>
            <w:tcW w:w="1440" w:type="dxa"/>
            <w:noWrap w:val="0"/>
            <w:vAlign w:val="center"/>
          </w:tcPr>
          <w:p>
            <w:pPr>
              <w:widowControl/>
              <w:spacing w:line="240" w:lineRule="auto"/>
              <w:ind w:firstLine="0" w:firstLineChars="0"/>
              <w:jc w:val="center"/>
              <w:rPr>
                <w:color w:val="auto"/>
                <w:kern w:val="0"/>
                <w:sz w:val="21"/>
                <w:szCs w:val="21"/>
                <w:highlight w:val="none"/>
              </w:rPr>
            </w:pPr>
            <w:r>
              <w:rPr>
                <w:rFonts w:hint="eastAsia"/>
                <w:color w:val="auto"/>
                <w:kern w:val="0"/>
                <w:sz w:val="21"/>
                <w:szCs w:val="21"/>
                <w:highlight w:val="none"/>
                <w:lang w:val="en-US" w:eastAsia="zh-CN"/>
              </w:rPr>
              <w:t>2.378</w:t>
            </w:r>
            <w:r>
              <w:rPr>
                <w:color w:val="auto"/>
                <w:kern w:val="0"/>
                <w:sz w:val="21"/>
                <w:szCs w:val="21"/>
                <w:highlight w:val="none"/>
              </w:rPr>
              <w:t>＞1.</w:t>
            </w:r>
            <w:r>
              <w:rPr>
                <w:rFonts w:hint="eastAsia"/>
                <w:color w:val="auto"/>
                <w:kern w:val="0"/>
                <w:sz w:val="21"/>
                <w:szCs w:val="21"/>
                <w:highlight w:val="none"/>
              </w:rPr>
              <w:t>4</w:t>
            </w:r>
          </w:p>
        </w:tc>
        <w:tc>
          <w:tcPr>
            <w:tcW w:w="1747" w:type="dxa"/>
            <w:noWrap w:val="0"/>
            <w:vAlign w:val="center"/>
          </w:tcPr>
          <w:p>
            <w:pPr>
              <w:widowControl/>
              <w:spacing w:line="240" w:lineRule="auto"/>
              <w:ind w:firstLine="0" w:firstLineChars="0"/>
              <w:jc w:val="center"/>
              <w:rPr>
                <w:color w:val="auto"/>
                <w:kern w:val="0"/>
                <w:sz w:val="21"/>
                <w:szCs w:val="21"/>
                <w:highlight w:val="none"/>
              </w:rPr>
            </w:pPr>
            <w:r>
              <w:rPr>
                <w:rFonts w:hint="eastAsia"/>
                <w:color w:val="auto"/>
                <w:kern w:val="0"/>
                <w:sz w:val="21"/>
                <w:szCs w:val="21"/>
                <w:highlight w:val="none"/>
                <w:lang w:val="en-US" w:eastAsia="zh-CN"/>
              </w:rPr>
              <w:t>110.514</w:t>
            </w:r>
            <w:r>
              <w:rPr>
                <w:color w:val="auto"/>
                <w:kern w:val="0"/>
                <w:sz w:val="21"/>
                <w:szCs w:val="21"/>
                <w:highlight w:val="none"/>
              </w:rPr>
              <w:t>＜</w:t>
            </w:r>
            <w:r>
              <w:rPr>
                <w:rFonts w:hint="eastAsia"/>
                <w:color w:val="auto"/>
                <w:kern w:val="0"/>
                <w:sz w:val="21"/>
                <w:szCs w:val="21"/>
                <w:highlight w:val="none"/>
              </w:rPr>
              <w:t>300</w:t>
            </w:r>
          </w:p>
        </w:tc>
        <w:tc>
          <w:tcPr>
            <w:tcW w:w="872" w:type="pct"/>
            <w:noWrap w:val="0"/>
            <w:vAlign w:val="center"/>
          </w:tcPr>
          <w:p>
            <w:pPr>
              <w:widowControl/>
              <w:spacing w:line="240" w:lineRule="auto"/>
              <w:ind w:firstLine="0" w:firstLineChars="0"/>
              <w:jc w:val="center"/>
              <w:rPr>
                <w:color w:val="auto"/>
                <w:kern w:val="0"/>
                <w:sz w:val="21"/>
                <w:szCs w:val="21"/>
                <w:highlight w:val="none"/>
              </w:rPr>
            </w:pPr>
            <w:r>
              <w:rPr>
                <w:color w:val="auto"/>
                <w:kern w:val="0"/>
                <w:sz w:val="21"/>
                <w:szCs w:val="21"/>
                <w:highlight w:val="none"/>
              </w:rPr>
              <w:t>满足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415" w:type="pct"/>
            <w:noWrap w:val="0"/>
            <w:vAlign w:val="center"/>
          </w:tcPr>
          <w:p>
            <w:pPr>
              <w:widowControl/>
              <w:spacing w:line="240" w:lineRule="auto"/>
              <w:ind w:firstLine="0" w:firstLineChars="0"/>
              <w:jc w:val="center"/>
              <w:rPr>
                <w:rFonts w:hint="eastAsia"/>
                <w:color w:val="auto"/>
                <w:kern w:val="0"/>
                <w:sz w:val="21"/>
                <w:szCs w:val="21"/>
                <w:highlight w:val="none"/>
              </w:rPr>
            </w:pPr>
            <w:r>
              <w:rPr>
                <w:rFonts w:hint="eastAsia"/>
                <w:color w:val="auto"/>
                <w:kern w:val="0"/>
                <w:sz w:val="21"/>
                <w:szCs w:val="21"/>
                <w:highlight w:val="none"/>
                <w:lang w:val="en-US" w:eastAsia="zh-CN"/>
              </w:rPr>
              <w:t>正常运行</w:t>
            </w:r>
            <w:r>
              <w:rPr>
                <w:rFonts w:hint="eastAsia"/>
                <w:color w:val="auto"/>
                <w:kern w:val="0"/>
                <w:sz w:val="21"/>
                <w:szCs w:val="21"/>
                <w:highlight w:val="none"/>
              </w:rPr>
              <w:t>工况</w:t>
            </w:r>
          </w:p>
        </w:tc>
        <w:tc>
          <w:tcPr>
            <w:tcW w:w="1433" w:type="dxa"/>
            <w:noWrap w:val="0"/>
            <w:vAlign w:val="center"/>
          </w:tcPr>
          <w:p>
            <w:pPr>
              <w:widowControl/>
              <w:spacing w:line="240" w:lineRule="auto"/>
              <w:ind w:firstLine="0" w:firstLineChars="0"/>
              <w:jc w:val="center"/>
              <w:rPr>
                <w:color w:val="auto"/>
                <w:kern w:val="0"/>
                <w:sz w:val="21"/>
                <w:szCs w:val="21"/>
                <w:highlight w:val="none"/>
              </w:rPr>
            </w:pPr>
            <w:r>
              <w:rPr>
                <w:rFonts w:hint="eastAsia"/>
                <w:color w:val="auto"/>
                <w:kern w:val="0"/>
                <w:sz w:val="21"/>
                <w:szCs w:val="21"/>
                <w:highlight w:val="none"/>
                <w:lang w:val="en-US" w:eastAsia="zh-CN"/>
              </w:rPr>
              <w:t>1.494</w:t>
            </w:r>
            <w:r>
              <w:rPr>
                <w:color w:val="auto"/>
                <w:kern w:val="0"/>
                <w:sz w:val="21"/>
                <w:szCs w:val="21"/>
                <w:highlight w:val="none"/>
              </w:rPr>
              <w:t>＞1.</w:t>
            </w:r>
            <w:r>
              <w:rPr>
                <w:rFonts w:hint="eastAsia"/>
                <w:color w:val="auto"/>
                <w:kern w:val="0"/>
                <w:sz w:val="21"/>
                <w:szCs w:val="21"/>
                <w:highlight w:val="none"/>
              </w:rPr>
              <w:t>2</w:t>
            </w:r>
          </w:p>
        </w:tc>
        <w:tc>
          <w:tcPr>
            <w:tcW w:w="1440" w:type="dxa"/>
            <w:noWrap w:val="0"/>
            <w:vAlign w:val="center"/>
          </w:tcPr>
          <w:p>
            <w:pPr>
              <w:widowControl/>
              <w:spacing w:line="240" w:lineRule="auto"/>
              <w:ind w:firstLine="0" w:firstLineChars="0"/>
              <w:jc w:val="center"/>
              <w:rPr>
                <w:color w:val="auto"/>
                <w:kern w:val="0"/>
                <w:sz w:val="21"/>
                <w:szCs w:val="21"/>
                <w:highlight w:val="none"/>
              </w:rPr>
            </w:pPr>
            <w:r>
              <w:rPr>
                <w:rFonts w:hint="eastAsia"/>
                <w:color w:val="auto"/>
                <w:kern w:val="0"/>
                <w:sz w:val="21"/>
                <w:szCs w:val="21"/>
                <w:highlight w:val="none"/>
                <w:lang w:val="en-US" w:eastAsia="zh-CN"/>
              </w:rPr>
              <w:t>1.444</w:t>
            </w:r>
            <w:r>
              <w:rPr>
                <w:color w:val="auto"/>
                <w:kern w:val="0"/>
                <w:sz w:val="21"/>
                <w:szCs w:val="21"/>
                <w:highlight w:val="none"/>
              </w:rPr>
              <w:t>＞1.</w:t>
            </w:r>
            <w:r>
              <w:rPr>
                <w:rFonts w:hint="eastAsia"/>
                <w:color w:val="auto"/>
                <w:kern w:val="0"/>
                <w:sz w:val="21"/>
                <w:szCs w:val="21"/>
                <w:highlight w:val="none"/>
              </w:rPr>
              <w:t>4</w:t>
            </w:r>
          </w:p>
        </w:tc>
        <w:tc>
          <w:tcPr>
            <w:tcW w:w="1747" w:type="dxa"/>
            <w:noWrap w:val="0"/>
            <w:vAlign w:val="center"/>
          </w:tcPr>
          <w:p>
            <w:pPr>
              <w:widowControl/>
              <w:spacing w:line="240" w:lineRule="auto"/>
              <w:ind w:firstLine="0" w:firstLineChars="0"/>
              <w:jc w:val="center"/>
              <w:rPr>
                <w:color w:val="auto"/>
                <w:kern w:val="0"/>
                <w:sz w:val="21"/>
                <w:szCs w:val="21"/>
                <w:highlight w:val="none"/>
              </w:rPr>
            </w:pPr>
            <w:r>
              <w:rPr>
                <w:rFonts w:hint="eastAsia"/>
                <w:color w:val="auto"/>
                <w:kern w:val="0"/>
                <w:sz w:val="21"/>
                <w:szCs w:val="21"/>
                <w:highlight w:val="none"/>
                <w:lang w:val="en-US" w:eastAsia="zh-CN"/>
              </w:rPr>
              <w:t>86.248</w:t>
            </w:r>
            <w:r>
              <w:rPr>
                <w:color w:val="auto"/>
                <w:kern w:val="0"/>
                <w:sz w:val="21"/>
                <w:szCs w:val="21"/>
                <w:highlight w:val="none"/>
              </w:rPr>
              <w:t>＜</w:t>
            </w:r>
            <w:r>
              <w:rPr>
                <w:rFonts w:hint="eastAsia"/>
                <w:color w:val="auto"/>
                <w:kern w:val="0"/>
                <w:sz w:val="21"/>
                <w:szCs w:val="21"/>
                <w:highlight w:val="none"/>
              </w:rPr>
              <w:t>300</w:t>
            </w:r>
          </w:p>
        </w:tc>
        <w:tc>
          <w:tcPr>
            <w:tcW w:w="872" w:type="pct"/>
            <w:noWrap w:val="0"/>
            <w:vAlign w:val="center"/>
          </w:tcPr>
          <w:p>
            <w:pPr>
              <w:widowControl/>
              <w:spacing w:line="240" w:lineRule="auto"/>
              <w:ind w:firstLine="0" w:firstLineChars="0"/>
              <w:jc w:val="center"/>
              <w:rPr>
                <w:color w:val="auto"/>
                <w:kern w:val="0"/>
                <w:sz w:val="21"/>
                <w:szCs w:val="21"/>
                <w:highlight w:val="none"/>
              </w:rPr>
            </w:pPr>
            <w:r>
              <w:rPr>
                <w:color w:val="auto"/>
                <w:kern w:val="0"/>
                <w:sz w:val="21"/>
                <w:szCs w:val="21"/>
                <w:highlight w:val="none"/>
              </w:rPr>
              <w:t>满足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415" w:type="pct"/>
            <w:noWrap w:val="0"/>
            <w:vAlign w:val="center"/>
          </w:tcPr>
          <w:p>
            <w:pPr>
              <w:widowControl/>
              <w:spacing w:line="240" w:lineRule="auto"/>
              <w:ind w:firstLine="0" w:firstLineChars="0"/>
              <w:jc w:val="center"/>
              <w:rPr>
                <w:color w:val="auto"/>
                <w:kern w:val="0"/>
                <w:sz w:val="21"/>
                <w:szCs w:val="21"/>
                <w:highlight w:val="none"/>
              </w:rPr>
            </w:pPr>
            <w:r>
              <w:rPr>
                <w:rFonts w:hint="eastAsia"/>
                <w:color w:val="auto"/>
                <w:kern w:val="0"/>
                <w:sz w:val="21"/>
                <w:szCs w:val="21"/>
                <w:highlight w:val="none"/>
                <w:lang w:val="en-US" w:eastAsia="zh-CN"/>
              </w:rPr>
              <w:t>水位骤降</w:t>
            </w:r>
            <w:r>
              <w:rPr>
                <w:rFonts w:hint="eastAsia"/>
                <w:color w:val="auto"/>
                <w:kern w:val="0"/>
                <w:sz w:val="21"/>
                <w:szCs w:val="21"/>
                <w:highlight w:val="none"/>
              </w:rPr>
              <w:t>工况</w:t>
            </w:r>
          </w:p>
        </w:tc>
        <w:tc>
          <w:tcPr>
            <w:tcW w:w="1433" w:type="dxa"/>
            <w:noWrap w:val="0"/>
            <w:vAlign w:val="center"/>
          </w:tcPr>
          <w:p>
            <w:pPr>
              <w:widowControl/>
              <w:spacing w:line="240" w:lineRule="auto"/>
              <w:ind w:firstLine="0" w:firstLineChars="0"/>
              <w:jc w:val="center"/>
              <w:rPr>
                <w:color w:val="auto"/>
                <w:kern w:val="0"/>
                <w:sz w:val="21"/>
                <w:szCs w:val="21"/>
                <w:highlight w:val="none"/>
              </w:rPr>
            </w:pPr>
            <w:r>
              <w:rPr>
                <w:rFonts w:hint="eastAsia"/>
                <w:color w:val="auto"/>
                <w:kern w:val="0"/>
                <w:sz w:val="21"/>
                <w:szCs w:val="21"/>
                <w:highlight w:val="none"/>
                <w:lang w:val="en-US" w:eastAsia="zh-CN"/>
              </w:rPr>
              <w:t>1.355</w:t>
            </w:r>
            <w:r>
              <w:rPr>
                <w:color w:val="auto"/>
                <w:kern w:val="0"/>
                <w:sz w:val="21"/>
                <w:szCs w:val="21"/>
                <w:highlight w:val="none"/>
              </w:rPr>
              <w:t>＞</w:t>
            </w:r>
            <w:r>
              <w:rPr>
                <w:rFonts w:hint="eastAsia"/>
                <w:color w:val="auto"/>
                <w:kern w:val="0"/>
                <w:sz w:val="21"/>
                <w:szCs w:val="21"/>
                <w:highlight w:val="none"/>
              </w:rPr>
              <w:t>1.05</w:t>
            </w:r>
          </w:p>
        </w:tc>
        <w:tc>
          <w:tcPr>
            <w:tcW w:w="1440" w:type="dxa"/>
            <w:noWrap w:val="0"/>
            <w:vAlign w:val="center"/>
          </w:tcPr>
          <w:p>
            <w:pPr>
              <w:widowControl/>
              <w:spacing w:line="240" w:lineRule="auto"/>
              <w:ind w:firstLine="0" w:firstLineChars="0"/>
              <w:jc w:val="center"/>
              <w:rPr>
                <w:rFonts w:hint="eastAsia"/>
                <w:color w:val="auto"/>
                <w:kern w:val="0"/>
                <w:sz w:val="21"/>
                <w:szCs w:val="21"/>
                <w:highlight w:val="none"/>
              </w:rPr>
            </w:pPr>
            <w:r>
              <w:rPr>
                <w:rFonts w:hint="eastAsia"/>
                <w:color w:val="auto"/>
                <w:kern w:val="0"/>
                <w:sz w:val="21"/>
                <w:szCs w:val="21"/>
                <w:highlight w:val="none"/>
                <w:lang w:val="en-US" w:eastAsia="zh-CN"/>
              </w:rPr>
              <w:t>1.413</w:t>
            </w:r>
            <w:r>
              <w:rPr>
                <w:color w:val="auto"/>
                <w:kern w:val="0"/>
                <w:sz w:val="21"/>
                <w:szCs w:val="21"/>
                <w:highlight w:val="none"/>
              </w:rPr>
              <w:t>＞1.</w:t>
            </w:r>
            <w:r>
              <w:rPr>
                <w:rFonts w:hint="eastAsia"/>
                <w:color w:val="auto"/>
                <w:kern w:val="0"/>
                <w:sz w:val="21"/>
                <w:szCs w:val="21"/>
                <w:highlight w:val="none"/>
              </w:rPr>
              <w:t>3</w:t>
            </w:r>
          </w:p>
        </w:tc>
        <w:tc>
          <w:tcPr>
            <w:tcW w:w="1747" w:type="dxa"/>
            <w:noWrap w:val="0"/>
            <w:vAlign w:val="center"/>
          </w:tcPr>
          <w:p>
            <w:pPr>
              <w:widowControl/>
              <w:spacing w:line="240" w:lineRule="auto"/>
              <w:ind w:firstLine="0" w:firstLineChars="0"/>
              <w:jc w:val="center"/>
              <w:rPr>
                <w:color w:val="auto"/>
                <w:kern w:val="0"/>
                <w:sz w:val="21"/>
                <w:szCs w:val="21"/>
                <w:highlight w:val="none"/>
              </w:rPr>
            </w:pPr>
            <w:r>
              <w:rPr>
                <w:rFonts w:hint="eastAsia"/>
                <w:color w:val="auto"/>
                <w:kern w:val="0"/>
                <w:sz w:val="21"/>
                <w:szCs w:val="21"/>
                <w:highlight w:val="none"/>
                <w:lang w:val="en-US" w:eastAsia="zh-CN"/>
              </w:rPr>
              <w:t>86.821</w:t>
            </w:r>
            <w:r>
              <w:rPr>
                <w:color w:val="auto"/>
                <w:kern w:val="0"/>
                <w:sz w:val="21"/>
                <w:szCs w:val="21"/>
                <w:highlight w:val="none"/>
              </w:rPr>
              <w:t>＜</w:t>
            </w:r>
            <w:r>
              <w:rPr>
                <w:rFonts w:hint="eastAsia"/>
                <w:color w:val="auto"/>
                <w:kern w:val="0"/>
                <w:sz w:val="21"/>
                <w:szCs w:val="21"/>
                <w:highlight w:val="none"/>
              </w:rPr>
              <w:t>300</w:t>
            </w:r>
          </w:p>
        </w:tc>
        <w:tc>
          <w:tcPr>
            <w:tcW w:w="872" w:type="pct"/>
            <w:noWrap w:val="0"/>
            <w:vAlign w:val="center"/>
          </w:tcPr>
          <w:p>
            <w:pPr>
              <w:widowControl/>
              <w:spacing w:line="240" w:lineRule="auto"/>
              <w:ind w:firstLine="0" w:firstLineChars="0"/>
              <w:jc w:val="center"/>
              <w:rPr>
                <w:color w:val="auto"/>
                <w:kern w:val="0"/>
                <w:sz w:val="21"/>
                <w:szCs w:val="21"/>
                <w:highlight w:val="none"/>
              </w:rPr>
            </w:pPr>
            <w:r>
              <w:rPr>
                <w:color w:val="auto"/>
                <w:kern w:val="0"/>
                <w:sz w:val="21"/>
                <w:szCs w:val="21"/>
                <w:highlight w:val="none"/>
              </w:rPr>
              <w:t>满足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415" w:type="pct"/>
            <w:noWrap w:val="0"/>
            <w:vAlign w:val="center"/>
          </w:tcPr>
          <w:p>
            <w:pPr>
              <w:widowControl/>
              <w:spacing w:line="240" w:lineRule="auto"/>
              <w:ind w:firstLine="0" w:firstLineChars="0"/>
              <w:jc w:val="center"/>
              <w:rPr>
                <w:rFonts w:hint="eastAsia"/>
                <w:color w:val="auto"/>
                <w:kern w:val="0"/>
                <w:sz w:val="21"/>
                <w:szCs w:val="21"/>
                <w:highlight w:val="none"/>
              </w:rPr>
            </w:pPr>
            <w:r>
              <w:rPr>
                <w:rFonts w:hint="eastAsia"/>
                <w:color w:val="auto"/>
                <w:kern w:val="0"/>
                <w:sz w:val="21"/>
                <w:szCs w:val="21"/>
                <w:highlight w:val="none"/>
              </w:rPr>
              <w:t>正常</w:t>
            </w:r>
            <w:r>
              <w:rPr>
                <w:rFonts w:hint="eastAsia"/>
                <w:color w:val="auto"/>
                <w:kern w:val="0"/>
                <w:sz w:val="21"/>
                <w:szCs w:val="21"/>
                <w:highlight w:val="none"/>
                <w:lang w:val="en-US" w:eastAsia="zh-CN"/>
              </w:rPr>
              <w:t>运行</w:t>
            </w:r>
            <w:r>
              <w:rPr>
                <w:rFonts w:hint="eastAsia"/>
                <w:color w:val="auto"/>
                <w:kern w:val="0"/>
                <w:sz w:val="21"/>
                <w:szCs w:val="21"/>
                <w:highlight w:val="none"/>
              </w:rPr>
              <w:t>+地震工况</w:t>
            </w:r>
          </w:p>
        </w:tc>
        <w:tc>
          <w:tcPr>
            <w:tcW w:w="1433" w:type="dxa"/>
            <w:noWrap w:val="0"/>
            <w:vAlign w:val="center"/>
          </w:tcPr>
          <w:p>
            <w:pPr>
              <w:widowControl/>
              <w:spacing w:line="240" w:lineRule="auto"/>
              <w:ind w:firstLine="0" w:firstLineChars="0"/>
              <w:jc w:val="center"/>
              <w:rPr>
                <w:color w:val="auto"/>
                <w:kern w:val="0"/>
                <w:sz w:val="21"/>
                <w:szCs w:val="21"/>
                <w:highlight w:val="none"/>
              </w:rPr>
            </w:pPr>
            <w:r>
              <w:rPr>
                <w:rFonts w:hint="eastAsia"/>
                <w:color w:val="auto"/>
                <w:kern w:val="0"/>
                <w:sz w:val="21"/>
                <w:szCs w:val="21"/>
                <w:highlight w:val="none"/>
                <w:lang w:val="en-US" w:eastAsia="zh-CN"/>
              </w:rPr>
              <w:t>1.278</w:t>
            </w:r>
            <w:r>
              <w:rPr>
                <w:color w:val="auto"/>
                <w:kern w:val="0"/>
                <w:sz w:val="21"/>
                <w:szCs w:val="21"/>
                <w:highlight w:val="none"/>
              </w:rPr>
              <w:t>＞1.</w:t>
            </w:r>
            <w:r>
              <w:rPr>
                <w:rFonts w:hint="eastAsia"/>
                <w:color w:val="auto"/>
                <w:kern w:val="0"/>
                <w:sz w:val="21"/>
                <w:szCs w:val="21"/>
                <w:highlight w:val="none"/>
              </w:rPr>
              <w:t>10</w:t>
            </w:r>
          </w:p>
        </w:tc>
        <w:tc>
          <w:tcPr>
            <w:tcW w:w="1440" w:type="dxa"/>
            <w:noWrap w:val="0"/>
            <w:vAlign w:val="center"/>
          </w:tcPr>
          <w:p>
            <w:pPr>
              <w:widowControl/>
              <w:spacing w:line="240" w:lineRule="auto"/>
              <w:ind w:firstLine="0" w:firstLineChars="0"/>
              <w:jc w:val="center"/>
              <w:rPr>
                <w:rFonts w:hint="eastAsia"/>
                <w:color w:val="auto"/>
                <w:kern w:val="0"/>
                <w:sz w:val="21"/>
                <w:szCs w:val="21"/>
                <w:highlight w:val="none"/>
              </w:rPr>
            </w:pPr>
            <w:r>
              <w:rPr>
                <w:rFonts w:hint="eastAsia"/>
                <w:color w:val="auto"/>
                <w:kern w:val="0"/>
                <w:sz w:val="21"/>
                <w:szCs w:val="21"/>
                <w:highlight w:val="none"/>
                <w:lang w:val="en-US" w:eastAsia="zh-CN"/>
              </w:rPr>
              <w:t>1.395</w:t>
            </w:r>
            <w:r>
              <w:rPr>
                <w:color w:val="auto"/>
                <w:kern w:val="0"/>
                <w:sz w:val="21"/>
                <w:szCs w:val="21"/>
                <w:highlight w:val="none"/>
              </w:rPr>
              <w:t>＞1.</w:t>
            </w:r>
            <w:r>
              <w:rPr>
                <w:rFonts w:hint="eastAsia"/>
                <w:color w:val="auto"/>
                <w:kern w:val="0"/>
                <w:sz w:val="21"/>
                <w:szCs w:val="21"/>
                <w:highlight w:val="none"/>
              </w:rPr>
              <w:t>2</w:t>
            </w:r>
          </w:p>
        </w:tc>
        <w:tc>
          <w:tcPr>
            <w:tcW w:w="1747" w:type="dxa"/>
            <w:noWrap w:val="0"/>
            <w:vAlign w:val="center"/>
          </w:tcPr>
          <w:p>
            <w:pPr>
              <w:widowControl/>
              <w:spacing w:line="240" w:lineRule="auto"/>
              <w:ind w:firstLine="0" w:firstLineChars="0"/>
              <w:jc w:val="center"/>
              <w:rPr>
                <w:rFonts w:hint="eastAsia"/>
                <w:color w:val="auto"/>
                <w:kern w:val="0"/>
                <w:sz w:val="21"/>
                <w:szCs w:val="21"/>
                <w:highlight w:val="none"/>
              </w:rPr>
            </w:pPr>
            <w:r>
              <w:rPr>
                <w:rFonts w:hint="eastAsia"/>
                <w:color w:val="auto"/>
                <w:kern w:val="0"/>
                <w:sz w:val="21"/>
                <w:szCs w:val="21"/>
                <w:highlight w:val="none"/>
                <w:lang w:val="en-US" w:eastAsia="zh-CN"/>
              </w:rPr>
              <w:t>88.614</w:t>
            </w:r>
            <w:r>
              <w:rPr>
                <w:color w:val="auto"/>
                <w:kern w:val="0"/>
                <w:sz w:val="21"/>
                <w:szCs w:val="21"/>
                <w:highlight w:val="none"/>
              </w:rPr>
              <w:t>＜</w:t>
            </w:r>
            <w:r>
              <w:rPr>
                <w:rFonts w:hint="eastAsia"/>
                <w:color w:val="auto"/>
                <w:kern w:val="0"/>
                <w:sz w:val="21"/>
                <w:szCs w:val="21"/>
                <w:highlight w:val="none"/>
              </w:rPr>
              <w:t>300</w:t>
            </w:r>
          </w:p>
        </w:tc>
        <w:tc>
          <w:tcPr>
            <w:tcW w:w="872" w:type="pct"/>
            <w:noWrap w:val="0"/>
            <w:vAlign w:val="center"/>
          </w:tcPr>
          <w:p>
            <w:pPr>
              <w:widowControl/>
              <w:spacing w:line="240" w:lineRule="auto"/>
              <w:ind w:firstLine="0" w:firstLineChars="0"/>
              <w:jc w:val="center"/>
              <w:rPr>
                <w:color w:val="auto"/>
                <w:kern w:val="0"/>
                <w:sz w:val="21"/>
                <w:szCs w:val="21"/>
                <w:highlight w:val="none"/>
              </w:rPr>
            </w:pPr>
            <w:r>
              <w:rPr>
                <w:color w:val="auto"/>
                <w:kern w:val="0"/>
                <w:sz w:val="21"/>
                <w:szCs w:val="21"/>
                <w:highlight w:val="none"/>
              </w:rPr>
              <w:t>满足</w:t>
            </w:r>
          </w:p>
        </w:tc>
      </w:tr>
    </w:tbl>
    <w:p>
      <w:pPr>
        <w:pStyle w:val="2"/>
        <w:rPr>
          <w:color w:val="auto"/>
          <w:sz w:val="24"/>
          <w:szCs w:val="24"/>
          <w:highlight w:val="none"/>
        </w:rPr>
      </w:pPr>
      <w:r>
        <w:rPr>
          <w:color w:val="auto"/>
          <w:sz w:val="24"/>
          <w:szCs w:val="24"/>
          <w:highlight w:val="none"/>
        </w:rPr>
        <w:t>从上表计算结果可知，各种工况下的抗滑稳定安全系数及抗倾覆安全系数均满足规范的要求。</w:t>
      </w:r>
    </w:p>
    <w:p>
      <w:pPr>
        <w:rPr>
          <w:rFonts w:hint="eastAsia"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lang w:val="en-US" w:eastAsia="zh-CN"/>
        </w:rPr>
        <w:t>本次溢洪道加固对靠近大坝坝坡一侧挡墙进行了重建加高</w:t>
      </w:r>
      <w:r>
        <w:rPr>
          <w:rFonts w:hint="eastAsia" w:ascii="Times New Roman" w:hAnsi="Times New Roman" w:eastAsia="宋体" w:cs="Times New Roman"/>
          <w:color w:val="auto"/>
          <w:sz w:val="24"/>
          <w:szCs w:val="24"/>
          <w:highlight w:val="none"/>
        </w:rPr>
        <w:t>。本次选择泄槽左岸防护岸坡</w:t>
      </w:r>
      <w:r>
        <w:rPr>
          <w:rFonts w:hint="eastAsia" w:ascii="Times New Roman" w:hAnsi="Times New Roman" w:eastAsia="宋体" w:cs="Times New Roman"/>
          <w:color w:val="auto"/>
          <w:sz w:val="24"/>
          <w:szCs w:val="24"/>
          <w:highlight w:val="none"/>
          <w:lang w:val="en-US" w:eastAsia="zh-CN"/>
        </w:rPr>
        <w:t>挡墙的</w:t>
      </w:r>
      <w:r>
        <w:rPr>
          <w:rFonts w:hint="eastAsia" w:ascii="Times New Roman" w:hAnsi="Times New Roman" w:eastAsia="宋体" w:cs="Times New Roman"/>
          <w:color w:val="auto"/>
          <w:sz w:val="24"/>
          <w:szCs w:val="24"/>
          <w:highlight w:val="none"/>
        </w:rPr>
        <w:t>典型断面进行岸坡稳定复核计算。</w:t>
      </w:r>
    </w:p>
    <w:p>
      <w:pPr>
        <w:pStyle w:val="73"/>
        <w:ind w:firstLine="482"/>
        <w:jc w:val="center"/>
        <w:rPr>
          <w:rFonts w:hint="default" w:ascii="Times New Roman" w:hAnsi="Times New Roman" w:eastAsia="宋体" w:cs="Times New Roman"/>
          <w:b w:val="0"/>
          <w:bCs/>
          <w:color w:val="auto"/>
          <w:sz w:val="24"/>
          <w:szCs w:val="24"/>
          <w:highlight w:val="none"/>
          <w:lang w:val="en-US" w:eastAsia="zh-CN"/>
        </w:rPr>
      </w:pPr>
      <w:r>
        <w:rPr>
          <w:rFonts w:hint="default" w:ascii="Times New Roman" w:hAnsi="Times New Roman" w:eastAsia="宋体" w:cs="Times New Roman"/>
          <w:b w:val="0"/>
          <w:bCs/>
          <w:color w:val="auto"/>
          <w:sz w:val="24"/>
          <w:szCs w:val="24"/>
          <w:highlight w:val="none"/>
          <w:lang w:val="en-US" w:eastAsia="zh-CN"/>
        </w:rPr>
        <w:t>表</w:t>
      </w:r>
      <w:r>
        <w:rPr>
          <w:rFonts w:hint="eastAsia" w:ascii="Times New Roman" w:hAnsi="Times New Roman" w:eastAsia="宋体" w:cs="Times New Roman"/>
          <w:b w:val="0"/>
          <w:bCs/>
          <w:color w:val="auto"/>
          <w:sz w:val="24"/>
          <w:szCs w:val="24"/>
          <w:highlight w:val="none"/>
          <w:lang w:val="en-US" w:eastAsia="zh-CN"/>
        </w:rPr>
        <w:t xml:space="preserve">1.5-3 </w:t>
      </w:r>
      <w:r>
        <w:rPr>
          <w:rFonts w:hint="default" w:ascii="Times New Roman" w:hAnsi="Times New Roman" w:eastAsia="宋体" w:cs="Times New Roman"/>
          <w:b w:val="0"/>
          <w:bCs/>
          <w:color w:val="auto"/>
          <w:sz w:val="24"/>
          <w:szCs w:val="24"/>
          <w:highlight w:val="none"/>
          <w:lang w:val="en-US" w:eastAsia="zh-CN"/>
        </w:rPr>
        <w:t xml:space="preserve"> </w:t>
      </w:r>
      <w:r>
        <w:rPr>
          <w:rFonts w:hint="eastAsia" w:ascii="Times New Roman" w:hAnsi="Times New Roman" w:eastAsia="宋体" w:cs="Times New Roman"/>
          <w:b w:val="0"/>
          <w:bCs/>
          <w:color w:val="auto"/>
          <w:sz w:val="24"/>
          <w:szCs w:val="24"/>
          <w:highlight w:val="none"/>
          <w:lang w:val="en-US" w:eastAsia="zh-CN"/>
        </w:rPr>
        <w:t>溢洪道</w:t>
      </w:r>
      <w:r>
        <w:rPr>
          <w:rFonts w:hint="default" w:ascii="Times New Roman" w:hAnsi="Times New Roman" w:eastAsia="宋体" w:cs="Times New Roman"/>
          <w:b w:val="0"/>
          <w:bCs/>
          <w:color w:val="auto"/>
          <w:sz w:val="24"/>
          <w:szCs w:val="24"/>
          <w:highlight w:val="none"/>
          <w:lang w:val="en-US" w:eastAsia="zh-CN"/>
        </w:rPr>
        <w:t>左岸岸坡稳定安全系数计算成果表</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
        <w:gridCol w:w="2032"/>
        <w:gridCol w:w="1042"/>
        <w:gridCol w:w="2023"/>
        <w:gridCol w:w="1278"/>
        <w:gridCol w:w="11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 w:type="pct"/>
            <w:vMerge w:val="restart"/>
            <w:noWrap w:val="0"/>
            <w:vAlign w:val="center"/>
          </w:tcPr>
          <w:p>
            <w:pPr>
              <w:widowControl/>
              <w:spacing w:line="240" w:lineRule="auto"/>
              <w:ind w:firstLine="0" w:firstLineChars="0"/>
              <w:jc w:val="center"/>
              <w:rPr>
                <w:color w:val="auto"/>
                <w:kern w:val="0"/>
                <w:sz w:val="21"/>
                <w:szCs w:val="21"/>
                <w:highlight w:val="none"/>
              </w:rPr>
            </w:pPr>
            <w:r>
              <w:rPr>
                <w:color w:val="auto"/>
                <w:kern w:val="0"/>
                <w:sz w:val="21"/>
                <w:szCs w:val="21"/>
                <w:highlight w:val="none"/>
              </w:rPr>
              <w:t>运用条件</w:t>
            </w:r>
          </w:p>
        </w:tc>
        <w:tc>
          <w:tcPr>
            <w:tcW w:w="1191" w:type="pct"/>
            <w:vMerge w:val="restart"/>
            <w:noWrap w:val="0"/>
            <w:vAlign w:val="center"/>
          </w:tcPr>
          <w:p>
            <w:pPr>
              <w:widowControl/>
              <w:spacing w:line="240" w:lineRule="auto"/>
              <w:ind w:firstLine="0" w:firstLineChars="0"/>
              <w:jc w:val="center"/>
              <w:rPr>
                <w:color w:val="auto"/>
                <w:kern w:val="0"/>
                <w:sz w:val="21"/>
                <w:szCs w:val="21"/>
                <w:highlight w:val="none"/>
              </w:rPr>
            </w:pPr>
            <w:r>
              <w:rPr>
                <w:color w:val="auto"/>
                <w:kern w:val="0"/>
                <w:sz w:val="21"/>
                <w:szCs w:val="21"/>
                <w:highlight w:val="none"/>
              </w:rPr>
              <w:t>计算工况</w:t>
            </w:r>
          </w:p>
        </w:tc>
        <w:tc>
          <w:tcPr>
            <w:tcW w:w="611" w:type="pct"/>
            <w:vMerge w:val="restart"/>
            <w:noWrap w:val="0"/>
            <w:vAlign w:val="center"/>
          </w:tcPr>
          <w:p>
            <w:pPr>
              <w:widowControl/>
              <w:spacing w:line="240" w:lineRule="auto"/>
              <w:ind w:firstLine="0" w:firstLineChars="0"/>
              <w:jc w:val="center"/>
              <w:rPr>
                <w:color w:val="auto"/>
                <w:kern w:val="0"/>
                <w:sz w:val="21"/>
                <w:szCs w:val="21"/>
                <w:highlight w:val="none"/>
              </w:rPr>
            </w:pPr>
            <w:r>
              <w:rPr>
                <w:color w:val="auto"/>
                <w:kern w:val="0"/>
                <w:sz w:val="21"/>
                <w:szCs w:val="21"/>
                <w:highlight w:val="none"/>
              </w:rPr>
              <w:t>分析对象</w:t>
            </w:r>
          </w:p>
        </w:tc>
        <w:tc>
          <w:tcPr>
            <w:tcW w:w="1186" w:type="pct"/>
            <w:noWrap w:val="0"/>
            <w:vAlign w:val="center"/>
          </w:tcPr>
          <w:p>
            <w:pPr>
              <w:widowControl/>
              <w:spacing w:line="240" w:lineRule="auto"/>
              <w:ind w:firstLine="0" w:firstLineChars="0"/>
              <w:jc w:val="center"/>
              <w:rPr>
                <w:color w:val="auto"/>
                <w:kern w:val="0"/>
                <w:sz w:val="21"/>
                <w:szCs w:val="21"/>
                <w:highlight w:val="none"/>
              </w:rPr>
            </w:pPr>
            <w:r>
              <w:rPr>
                <w:color w:val="auto"/>
                <w:kern w:val="0"/>
                <w:sz w:val="21"/>
                <w:szCs w:val="21"/>
                <w:highlight w:val="none"/>
              </w:rPr>
              <w:t>计算最小安全系数值K（简化毕肖普法）</w:t>
            </w:r>
          </w:p>
        </w:tc>
        <w:tc>
          <w:tcPr>
            <w:tcW w:w="749" w:type="pct"/>
            <w:vMerge w:val="restart"/>
            <w:noWrap w:val="0"/>
            <w:vAlign w:val="center"/>
          </w:tcPr>
          <w:p>
            <w:pPr>
              <w:widowControl/>
              <w:spacing w:line="240" w:lineRule="auto"/>
              <w:ind w:firstLine="0" w:firstLineChars="0"/>
              <w:jc w:val="center"/>
              <w:rPr>
                <w:color w:val="auto"/>
                <w:kern w:val="0"/>
                <w:sz w:val="21"/>
                <w:szCs w:val="21"/>
                <w:highlight w:val="none"/>
              </w:rPr>
            </w:pPr>
            <w:r>
              <w:rPr>
                <w:color w:val="auto"/>
                <w:kern w:val="0"/>
                <w:sz w:val="21"/>
                <w:szCs w:val="21"/>
                <w:highlight w:val="none"/>
              </w:rPr>
              <w:t>规范要求安全系数</w:t>
            </w:r>
          </w:p>
        </w:tc>
        <w:tc>
          <w:tcPr>
            <w:tcW w:w="668" w:type="pct"/>
            <w:vMerge w:val="restart"/>
            <w:noWrap w:val="0"/>
            <w:vAlign w:val="center"/>
          </w:tcPr>
          <w:p>
            <w:pPr>
              <w:widowControl/>
              <w:spacing w:line="240" w:lineRule="auto"/>
              <w:ind w:firstLine="0" w:firstLineChars="0"/>
              <w:jc w:val="center"/>
              <w:rPr>
                <w:color w:val="auto"/>
                <w:kern w:val="0"/>
                <w:sz w:val="21"/>
                <w:szCs w:val="21"/>
                <w:highlight w:val="none"/>
              </w:rPr>
            </w:pPr>
            <w:r>
              <w:rPr>
                <w:color w:val="auto"/>
                <w:kern w:val="0"/>
                <w:sz w:val="21"/>
                <w:szCs w:val="21"/>
                <w:highlight w:val="none"/>
              </w:rPr>
              <w:t>是否满足规范要求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 w:type="pct"/>
            <w:vMerge w:val="continue"/>
            <w:noWrap w:val="0"/>
            <w:vAlign w:val="center"/>
          </w:tcPr>
          <w:p>
            <w:pPr>
              <w:widowControl/>
              <w:spacing w:line="240" w:lineRule="auto"/>
              <w:ind w:firstLine="0" w:firstLineChars="0"/>
              <w:jc w:val="center"/>
              <w:rPr>
                <w:color w:val="auto"/>
                <w:kern w:val="0"/>
                <w:sz w:val="21"/>
                <w:szCs w:val="21"/>
                <w:highlight w:val="none"/>
              </w:rPr>
            </w:pPr>
          </w:p>
        </w:tc>
        <w:tc>
          <w:tcPr>
            <w:tcW w:w="1191" w:type="pct"/>
            <w:vMerge w:val="continue"/>
            <w:noWrap w:val="0"/>
            <w:vAlign w:val="center"/>
          </w:tcPr>
          <w:p>
            <w:pPr>
              <w:widowControl/>
              <w:spacing w:line="240" w:lineRule="auto"/>
              <w:ind w:firstLine="0" w:firstLineChars="0"/>
              <w:jc w:val="center"/>
              <w:rPr>
                <w:color w:val="auto"/>
                <w:kern w:val="0"/>
                <w:sz w:val="21"/>
                <w:szCs w:val="21"/>
                <w:highlight w:val="none"/>
              </w:rPr>
            </w:pPr>
          </w:p>
        </w:tc>
        <w:tc>
          <w:tcPr>
            <w:tcW w:w="611" w:type="pct"/>
            <w:vMerge w:val="continue"/>
            <w:noWrap w:val="0"/>
            <w:vAlign w:val="center"/>
          </w:tcPr>
          <w:p>
            <w:pPr>
              <w:widowControl/>
              <w:spacing w:line="240" w:lineRule="auto"/>
              <w:ind w:firstLine="0" w:firstLineChars="0"/>
              <w:jc w:val="center"/>
              <w:rPr>
                <w:color w:val="auto"/>
                <w:kern w:val="0"/>
                <w:sz w:val="21"/>
                <w:szCs w:val="21"/>
                <w:highlight w:val="none"/>
              </w:rPr>
            </w:pPr>
          </w:p>
        </w:tc>
        <w:tc>
          <w:tcPr>
            <w:tcW w:w="1186" w:type="pct"/>
            <w:noWrap w:val="0"/>
            <w:vAlign w:val="center"/>
          </w:tcPr>
          <w:p>
            <w:pPr>
              <w:widowControl/>
              <w:spacing w:line="240" w:lineRule="auto"/>
              <w:ind w:firstLine="0" w:firstLineChars="0"/>
              <w:jc w:val="center"/>
              <w:rPr>
                <w:color w:val="auto"/>
                <w:kern w:val="0"/>
                <w:sz w:val="21"/>
                <w:szCs w:val="21"/>
                <w:highlight w:val="none"/>
              </w:rPr>
            </w:pPr>
            <w:r>
              <w:rPr>
                <w:color w:val="auto"/>
                <w:kern w:val="0"/>
                <w:sz w:val="21"/>
                <w:szCs w:val="21"/>
                <w:highlight w:val="none"/>
              </w:rPr>
              <w:t>有效应力法</w:t>
            </w:r>
          </w:p>
        </w:tc>
        <w:tc>
          <w:tcPr>
            <w:tcW w:w="749" w:type="pct"/>
            <w:vMerge w:val="continue"/>
            <w:noWrap w:val="0"/>
            <w:vAlign w:val="center"/>
          </w:tcPr>
          <w:p>
            <w:pPr>
              <w:widowControl/>
              <w:spacing w:line="240" w:lineRule="auto"/>
              <w:ind w:firstLine="0" w:firstLineChars="0"/>
              <w:jc w:val="center"/>
              <w:rPr>
                <w:color w:val="auto"/>
                <w:kern w:val="0"/>
                <w:sz w:val="21"/>
                <w:szCs w:val="21"/>
                <w:highlight w:val="none"/>
              </w:rPr>
            </w:pPr>
          </w:p>
        </w:tc>
        <w:tc>
          <w:tcPr>
            <w:tcW w:w="668" w:type="pct"/>
            <w:vMerge w:val="continue"/>
            <w:noWrap w:val="0"/>
            <w:vAlign w:val="center"/>
          </w:tcPr>
          <w:p>
            <w:pPr>
              <w:widowControl/>
              <w:spacing w:line="240" w:lineRule="auto"/>
              <w:ind w:firstLine="0" w:firstLineChars="0"/>
              <w:jc w:val="center"/>
              <w:rPr>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 w:type="pct"/>
            <w:noWrap w:val="0"/>
            <w:vAlign w:val="center"/>
          </w:tcPr>
          <w:p>
            <w:pPr>
              <w:widowControl/>
              <w:spacing w:line="240" w:lineRule="auto"/>
              <w:ind w:firstLine="0" w:firstLineChars="0"/>
              <w:jc w:val="center"/>
              <w:rPr>
                <w:color w:val="auto"/>
                <w:kern w:val="0"/>
                <w:sz w:val="21"/>
                <w:szCs w:val="21"/>
                <w:highlight w:val="none"/>
              </w:rPr>
            </w:pPr>
            <w:r>
              <w:rPr>
                <w:color w:val="auto"/>
                <w:kern w:val="0"/>
                <w:sz w:val="21"/>
                <w:szCs w:val="21"/>
                <w:highlight w:val="none"/>
              </w:rPr>
              <w:t>正常运用条件</w:t>
            </w:r>
          </w:p>
        </w:tc>
        <w:tc>
          <w:tcPr>
            <w:tcW w:w="1191" w:type="pct"/>
            <w:noWrap w:val="0"/>
            <w:vAlign w:val="center"/>
          </w:tcPr>
          <w:p>
            <w:pPr>
              <w:widowControl/>
              <w:spacing w:line="240" w:lineRule="auto"/>
              <w:ind w:firstLine="0" w:firstLineChars="0"/>
              <w:jc w:val="center"/>
              <w:rPr>
                <w:color w:val="auto"/>
                <w:kern w:val="0"/>
                <w:sz w:val="21"/>
                <w:szCs w:val="21"/>
                <w:highlight w:val="none"/>
              </w:rPr>
            </w:pPr>
            <w:r>
              <w:rPr>
                <w:color w:val="auto"/>
                <w:kern w:val="0"/>
                <w:sz w:val="21"/>
                <w:szCs w:val="21"/>
                <w:highlight w:val="none"/>
              </w:rPr>
              <w:t>正常蓄水位情况稳定渗流期</w:t>
            </w:r>
          </w:p>
        </w:tc>
        <w:tc>
          <w:tcPr>
            <w:tcW w:w="611" w:type="pct"/>
            <w:noWrap w:val="0"/>
            <w:vAlign w:val="center"/>
          </w:tcPr>
          <w:p>
            <w:pPr>
              <w:widowControl/>
              <w:spacing w:line="240" w:lineRule="auto"/>
              <w:ind w:firstLine="0" w:firstLineChars="0"/>
              <w:jc w:val="center"/>
              <w:rPr>
                <w:color w:val="auto"/>
                <w:kern w:val="0"/>
                <w:sz w:val="21"/>
                <w:szCs w:val="21"/>
                <w:highlight w:val="none"/>
              </w:rPr>
            </w:pPr>
            <w:r>
              <w:rPr>
                <w:rFonts w:hint="eastAsia"/>
                <w:color w:val="auto"/>
                <w:kern w:val="0"/>
                <w:sz w:val="21"/>
                <w:szCs w:val="21"/>
                <w:highlight w:val="none"/>
                <w:lang w:val="en-US" w:eastAsia="zh-CN"/>
              </w:rPr>
              <w:t>下</w:t>
            </w:r>
            <w:r>
              <w:rPr>
                <w:color w:val="auto"/>
                <w:kern w:val="0"/>
                <w:sz w:val="21"/>
                <w:szCs w:val="21"/>
                <w:highlight w:val="none"/>
              </w:rPr>
              <w:t>游坡</w:t>
            </w:r>
          </w:p>
        </w:tc>
        <w:tc>
          <w:tcPr>
            <w:tcW w:w="1186" w:type="pct"/>
            <w:noWrap w:val="0"/>
            <w:vAlign w:val="center"/>
          </w:tcPr>
          <w:p>
            <w:pPr>
              <w:widowControl/>
              <w:spacing w:line="240" w:lineRule="auto"/>
              <w:ind w:firstLine="0" w:firstLineChars="0"/>
              <w:jc w:val="center"/>
              <w:rPr>
                <w:rFonts w:hint="default" w:eastAsia="宋体"/>
                <w:color w:val="auto"/>
                <w:kern w:val="0"/>
                <w:sz w:val="21"/>
                <w:szCs w:val="21"/>
                <w:highlight w:val="none"/>
                <w:lang w:val="en-US" w:eastAsia="zh-CN"/>
              </w:rPr>
            </w:pPr>
            <w:r>
              <w:rPr>
                <w:rFonts w:hint="eastAsia"/>
                <w:color w:val="auto"/>
                <w:kern w:val="0"/>
                <w:sz w:val="21"/>
                <w:szCs w:val="21"/>
                <w:highlight w:val="none"/>
                <w:lang w:val="en-US" w:eastAsia="zh-CN"/>
              </w:rPr>
              <w:t>1.76</w:t>
            </w:r>
          </w:p>
        </w:tc>
        <w:tc>
          <w:tcPr>
            <w:tcW w:w="749" w:type="pct"/>
            <w:noWrap w:val="0"/>
            <w:vAlign w:val="center"/>
          </w:tcPr>
          <w:p>
            <w:pPr>
              <w:widowControl/>
              <w:spacing w:line="240" w:lineRule="auto"/>
              <w:ind w:firstLine="0" w:firstLineChars="0"/>
              <w:jc w:val="center"/>
              <w:rPr>
                <w:color w:val="auto"/>
                <w:kern w:val="0"/>
                <w:sz w:val="21"/>
                <w:szCs w:val="21"/>
                <w:highlight w:val="none"/>
              </w:rPr>
            </w:pPr>
            <w:r>
              <w:rPr>
                <w:color w:val="auto"/>
                <w:kern w:val="0"/>
                <w:sz w:val="21"/>
                <w:szCs w:val="21"/>
                <w:highlight w:val="none"/>
              </w:rPr>
              <w:t>≥1.25</w:t>
            </w:r>
          </w:p>
        </w:tc>
        <w:tc>
          <w:tcPr>
            <w:tcW w:w="668" w:type="pct"/>
            <w:noWrap w:val="0"/>
            <w:vAlign w:val="center"/>
          </w:tcPr>
          <w:p>
            <w:pPr>
              <w:widowControl/>
              <w:spacing w:line="240" w:lineRule="auto"/>
              <w:ind w:firstLine="0" w:firstLineChars="0"/>
              <w:jc w:val="center"/>
              <w:rPr>
                <w:color w:val="auto"/>
                <w:kern w:val="0"/>
                <w:sz w:val="21"/>
                <w:szCs w:val="21"/>
                <w:highlight w:val="none"/>
              </w:rPr>
            </w:pPr>
            <w:r>
              <w:rPr>
                <w:rFonts w:hint="eastAsia"/>
                <w:color w:val="auto"/>
                <w:kern w:val="0"/>
                <w:sz w:val="21"/>
                <w:szCs w:val="21"/>
                <w:highlight w:val="none"/>
              </w:rPr>
              <w:t>满足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91" w:type="pct"/>
            <w:noWrap w:val="0"/>
            <w:vAlign w:val="center"/>
          </w:tcPr>
          <w:p>
            <w:pPr>
              <w:widowControl/>
              <w:spacing w:line="240" w:lineRule="auto"/>
              <w:ind w:firstLine="0" w:firstLineChars="0"/>
              <w:jc w:val="center"/>
              <w:rPr>
                <w:color w:val="auto"/>
                <w:kern w:val="0"/>
                <w:sz w:val="21"/>
                <w:szCs w:val="21"/>
                <w:highlight w:val="none"/>
              </w:rPr>
            </w:pPr>
            <w:r>
              <w:rPr>
                <w:color w:val="auto"/>
                <w:kern w:val="0"/>
                <w:sz w:val="21"/>
                <w:szCs w:val="21"/>
                <w:highlight w:val="none"/>
              </w:rPr>
              <w:t>非常运用条件Ⅱ</w:t>
            </w:r>
          </w:p>
        </w:tc>
        <w:tc>
          <w:tcPr>
            <w:tcW w:w="1191" w:type="pct"/>
            <w:noWrap w:val="0"/>
            <w:vAlign w:val="center"/>
          </w:tcPr>
          <w:p>
            <w:pPr>
              <w:widowControl/>
              <w:spacing w:line="240" w:lineRule="auto"/>
              <w:ind w:firstLine="0" w:firstLineChars="0"/>
              <w:jc w:val="center"/>
              <w:rPr>
                <w:color w:val="auto"/>
                <w:kern w:val="0"/>
                <w:sz w:val="21"/>
                <w:szCs w:val="21"/>
                <w:highlight w:val="none"/>
              </w:rPr>
            </w:pPr>
            <w:r>
              <w:rPr>
                <w:color w:val="auto"/>
                <w:kern w:val="0"/>
                <w:sz w:val="21"/>
                <w:szCs w:val="21"/>
                <w:highlight w:val="none"/>
              </w:rPr>
              <w:t>上游正常蓄水位</w:t>
            </w:r>
            <w:r>
              <w:rPr>
                <w:rFonts w:hint="eastAsia"/>
                <w:color w:val="auto"/>
                <w:kern w:val="0"/>
                <w:sz w:val="21"/>
                <w:szCs w:val="21"/>
                <w:highlight w:val="none"/>
              </w:rPr>
              <w:t>遇地震</w:t>
            </w:r>
            <w:r>
              <w:rPr>
                <w:color w:val="auto"/>
                <w:kern w:val="0"/>
                <w:sz w:val="21"/>
                <w:szCs w:val="21"/>
                <w:highlight w:val="none"/>
              </w:rPr>
              <w:t>与下游无水</w:t>
            </w:r>
          </w:p>
        </w:tc>
        <w:tc>
          <w:tcPr>
            <w:tcW w:w="611" w:type="pct"/>
            <w:noWrap w:val="0"/>
            <w:vAlign w:val="center"/>
          </w:tcPr>
          <w:p>
            <w:pPr>
              <w:widowControl/>
              <w:spacing w:line="240" w:lineRule="auto"/>
              <w:ind w:firstLine="0" w:firstLineChars="0"/>
              <w:jc w:val="center"/>
              <w:rPr>
                <w:color w:val="auto"/>
                <w:kern w:val="0"/>
                <w:sz w:val="21"/>
                <w:szCs w:val="21"/>
                <w:highlight w:val="none"/>
              </w:rPr>
            </w:pPr>
            <w:r>
              <w:rPr>
                <w:rFonts w:hint="eastAsia"/>
                <w:color w:val="auto"/>
                <w:kern w:val="0"/>
                <w:sz w:val="21"/>
                <w:szCs w:val="21"/>
                <w:highlight w:val="none"/>
                <w:lang w:val="en-US" w:eastAsia="zh-CN"/>
              </w:rPr>
              <w:t>下</w:t>
            </w:r>
            <w:r>
              <w:rPr>
                <w:color w:val="auto"/>
                <w:kern w:val="0"/>
                <w:sz w:val="21"/>
                <w:szCs w:val="21"/>
                <w:highlight w:val="none"/>
              </w:rPr>
              <w:t>游坡</w:t>
            </w:r>
          </w:p>
        </w:tc>
        <w:tc>
          <w:tcPr>
            <w:tcW w:w="1186" w:type="pct"/>
            <w:noWrap w:val="0"/>
            <w:vAlign w:val="center"/>
          </w:tcPr>
          <w:p>
            <w:pPr>
              <w:widowControl/>
              <w:spacing w:line="240" w:lineRule="auto"/>
              <w:ind w:firstLine="0" w:firstLineChars="0"/>
              <w:jc w:val="center"/>
              <w:rPr>
                <w:rFonts w:hint="default" w:eastAsia="宋体"/>
                <w:color w:val="auto"/>
                <w:kern w:val="0"/>
                <w:sz w:val="21"/>
                <w:szCs w:val="21"/>
                <w:highlight w:val="none"/>
                <w:lang w:val="en-US" w:eastAsia="zh-CN"/>
              </w:rPr>
            </w:pPr>
            <w:r>
              <w:rPr>
                <w:rFonts w:hint="eastAsia"/>
                <w:color w:val="auto"/>
                <w:kern w:val="0"/>
                <w:sz w:val="21"/>
                <w:szCs w:val="21"/>
                <w:highlight w:val="none"/>
              </w:rPr>
              <w:t>1.</w:t>
            </w:r>
            <w:r>
              <w:rPr>
                <w:rFonts w:hint="eastAsia"/>
                <w:color w:val="auto"/>
                <w:kern w:val="0"/>
                <w:sz w:val="21"/>
                <w:szCs w:val="21"/>
                <w:highlight w:val="none"/>
                <w:lang w:val="en-US" w:eastAsia="zh-CN"/>
              </w:rPr>
              <w:t>71</w:t>
            </w:r>
          </w:p>
        </w:tc>
        <w:tc>
          <w:tcPr>
            <w:tcW w:w="749" w:type="pct"/>
            <w:noWrap w:val="0"/>
            <w:vAlign w:val="center"/>
          </w:tcPr>
          <w:p>
            <w:pPr>
              <w:widowControl/>
              <w:spacing w:line="240" w:lineRule="auto"/>
              <w:ind w:firstLine="0" w:firstLineChars="0"/>
              <w:jc w:val="center"/>
              <w:rPr>
                <w:color w:val="auto"/>
                <w:kern w:val="0"/>
                <w:sz w:val="21"/>
                <w:szCs w:val="21"/>
                <w:highlight w:val="none"/>
              </w:rPr>
            </w:pPr>
            <w:r>
              <w:rPr>
                <w:color w:val="auto"/>
                <w:kern w:val="0"/>
                <w:sz w:val="21"/>
                <w:szCs w:val="21"/>
                <w:highlight w:val="none"/>
              </w:rPr>
              <w:t>≥1.1</w:t>
            </w:r>
            <w:r>
              <w:rPr>
                <w:rFonts w:hint="eastAsia"/>
                <w:color w:val="auto"/>
                <w:kern w:val="0"/>
                <w:sz w:val="21"/>
                <w:szCs w:val="21"/>
                <w:highlight w:val="none"/>
              </w:rPr>
              <w:t>0</w:t>
            </w:r>
          </w:p>
        </w:tc>
        <w:tc>
          <w:tcPr>
            <w:tcW w:w="668" w:type="pct"/>
            <w:noWrap w:val="0"/>
            <w:vAlign w:val="center"/>
          </w:tcPr>
          <w:p>
            <w:pPr>
              <w:widowControl/>
              <w:spacing w:line="240" w:lineRule="auto"/>
              <w:ind w:firstLine="0" w:firstLineChars="0"/>
              <w:jc w:val="center"/>
              <w:rPr>
                <w:color w:val="auto"/>
                <w:kern w:val="0"/>
                <w:sz w:val="21"/>
                <w:szCs w:val="21"/>
                <w:highlight w:val="none"/>
              </w:rPr>
            </w:pPr>
            <w:r>
              <w:rPr>
                <w:color w:val="auto"/>
                <w:kern w:val="0"/>
                <w:sz w:val="21"/>
                <w:szCs w:val="21"/>
                <w:highlight w:val="none"/>
              </w:rPr>
              <w:t>满足</w:t>
            </w:r>
          </w:p>
        </w:tc>
      </w:tr>
    </w:tbl>
    <w:p>
      <w:pPr>
        <w:pStyle w:val="2"/>
        <w:rPr>
          <w:rFonts w:hint="eastAsia"/>
          <w:color w:val="auto"/>
          <w:highlight w:val="none"/>
          <w:lang w:val="en-US" w:eastAsia="zh-CN"/>
        </w:rPr>
      </w:pPr>
      <w:r>
        <w:rPr>
          <w:rFonts w:ascii="Times New Roman" w:hAnsi="Times New Roman" w:eastAsia="宋体" w:cs="Times New Roman"/>
          <w:color w:val="auto"/>
          <w:sz w:val="24"/>
          <w:szCs w:val="24"/>
          <w:highlight w:val="none"/>
        </w:rPr>
        <w:t>由以上计算结果看出，</w:t>
      </w:r>
      <w:r>
        <w:rPr>
          <w:rFonts w:hint="eastAsia" w:ascii="Times New Roman" w:hAnsi="Times New Roman" w:eastAsia="宋体" w:cs="Times New Roman"/>
          <w:color w:val="auto"/>
          <w:sz w:val="24"/>
          <w:szCs w:val="24"/>
          <w:highlight w:val="none"/>
        </w:rPr>
        <w:t>溢洪道左岸岸坡</w:t>
      </w:r>
      <w:r>
        <w:rPr>
          <w:rFonts w:hint="eastAsia" w:ascii="Times New Roman" w:hAnsi="Times New Roman" w:eastAsia="宋体" w:cs="Times New Roman"/>
          <w:color w:val="auto"/>
          <w:sz w:val="24"/>
          <w:szCs w:val="24"/>
          <w:highlight w:val="none"/>
          <w:lang w:val="en-US" w:eastAsia="zh-CN"/>
        </w:rPr>
        <w:t>各工况</w:t>
      </w:r>
      <w:r>
        <w:rPr>
          <w:rFonts w:ascii="Times New Roman" w:hAnsi="Times New Roman" w:eastAsia="宋体" w:cs="Times New Roman"/>
          <w:color w:val="auto"/>
          <w:sz w:val="24"/>
          <w:szCs w:val="24"/>
          <w:highlight w:val="none"/>
        </w:rPr>
        <w:t>下，抗滑稳定安全系数</w:t>
      </w:r>
      <w:r>
        <w:rPr>
          <w:rFonts w:hint="eastAsia" w:ascii="Times New Roman" w:hAnsi="Times New Roman" w:eastAsia="宋体" w:cs="Times New Roman"/>
          <w:color w:val="auto"/>
          <w:sz w:val="24"/>
          <w:szCs w:val="24"/>
          <w:highlight w:val="none"/>
          <w:lang w:val="en-US" w:eastAsia="zh-CN"/>
        </w:rPr>
        <w:t>均</w:t>
      </w:r>
      <w:r>
        <w:rPr>
          <w:rFonts w:ascii="Times New Roman" w:hAnsi="Times New Roman" w:eastAsia="宋体" w:cs="Times New Roman"/>
          <w:color w:val="auto"/>
          <w:sz w:val="24"/>
          <w:szCs w:val="24"/>
          <w:highlight w:val="none"/>
        </w:rPr>
        <w:t>满足规范要求。</w:t>
      </w:r>
    </w:p>
    <w:p>
      <w:pPr>
        <w:pStyle w:val="5"/>
        <w:bidi w:val="0"/>
        <w:rPr>
          <w:rFonts w:hint="eastAsia"/>
          <w:color w:val="auto"/>
          <w:highlight w:val="none"/>
          <w:lang w:val="en-US" w:eastAsia="zh-CN"/>
        </w:rPr>
      </w:pPr>
      <w:r>
        <w:rPr>
          <w:rFonts w:hint="eastAsia"/>
          <w:color w:val="auto"/>
          <w:highlight w:val="none"/>
          <w:lang w:val="en-US" w:eastAsia="zh-CN"/>
        </w:rPr>
        <w:t>1.5.5坝下埋管除险加固</w:t>
      </w:r>
      <w:bookmarkEnd w:id="39"/>
    </w:p>
    <w:p>
      <w:pPr>
        <w:pStyle w:val="66"/>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eastAsia="宋体"/>
          <w:color w:val="auto"/>
          <w:sz w:val="24"/>
          <w:szCs w:val="24"/>
          <w:highlight w:val="none"/>
          <w:lang w:val="en-US" w:eastAsia="zh-CN"/>
        </w:rPr>
      </w:pPr>
      <w:r>
        <w:rPr>
          <w:rFonts w:hint="eastAsia"/>
          <w:color w:val="auto"/>
          <w:sz w:val="24"/>
          <w:szCs w:val="24"/>
          <w:highlight w:val="none"/>
        </w:rPr>
        <w:t>输水涵管位于坝体左侧坝端，原为钢筋砼结构圆涵，内径0.7m，2017年10月实施涵管内套钢管，管径0.62m，管壁厚10mm，涵头进口底高程206.75m，涵管全长160m。涵管出口底高程205.45m，涵头设螺杆式斜拉铸铁闸门控制，配手电两用15T螺杆式启闭机，启闭机机室设于坝顶，面积3.4×4.2m。涵管通气孔采用直径114mm无缝钢管，管壁厚7mm。2018 年6月由丰顺县水务局组织了完工验收。现状输水涵管涵尾设有闸门及闸阀，均锈蚀严重，老化失效，无法正常使用。本次拟更换涵尾闸门及闸阀，保证其正常运行。</w:t>
      </w:r>
    </w:p>
    <w:p>
      <w:pPr>
        <w:pStyle w:val="5"/>
        <w:bidi w:val="0"/>
        <w:rPr>
          <w:rFonts w:hint="eastAsia"/>
          <w:color w:val="auto"/>
          <w:highlight w:val="none"/>
          <w:lang w:val="en-US" w:eastAsia="zh-CN"/>
        </w:rPr>
      </w:pPr>
      <w:bookmarkStart w:id="40" w:name="_Toc718"/>
      <w:r>
        <w:rPr>
          <w:rFonts w:hint="eastAsia"/>
          <w:color w:val="auto"/>
          <w:highlight w:val="none"/>
          <w:lang w:val="en-US" w:eastAsia="zh-CN"/>
        </w:rPr>
        <w:t>1.5.6交通建筑物</w:t>
      </w:r>
      <w:bookmarkEnd w:id="40"/>
    </w:p>
    <w:p>
      <w:pPr>
        <w:bidi w:val="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1）上坝公路、进村公路</w:t>
      </w:r>
    </w:p>
    <w:p>
      <w:pPr>
        <w:bidi w:val="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现状上坝公路为混凝土路面，宽度3m左右，满足防汛抢险车辆通行。现状进村公路位于大坝右岸，由溢洪道进口处连接至坝顶，约300m长道路位于校核洪水位以下，泄洪时切断两侧交通，存在重大安全隐患；沿路有一座自建房，高程为228.90m，低于校核洪水位，泄洪时该处处于淹没区。</w:t>
      </w:r>
    </w:p>
    <w:p>
      <w:pPr>
        <w:pStyle w:val="2"/>
        <w:rPr>
          <w:rFonts w:hint="default" w:ascii="Times New Roman" w:hAnsi="Times New Roman" w:eastAsia="宋体" w:cs="Times New Roman"/>
          <w:color w:val="auto"/>
          <w:kern w:val="2"/>
          <w:sz w:val="24"/>
          <w:szCs w:val="24"/>
          <w:highlight w:val="none"/>
          <w:lang w:val="en-US" w:eastAsia="zh-CN" w:bidi="ar-SA"/>
        </w:rPr>
      </w:pPr>
      <w:r>
        <w:rPr>
          <w:rFonts w:hint="default" w:ascii="Times New Roman" w:hAnsi="Times New Roman" w:eastAsia="宋体" w:cs="Times New Roman"/>
          <w:color w:val="auto"/>
          <w:kern w:val="2"/>
          <w:sz w:val="24"/>
          <w:szCs w:val="24"/>
          <w:highlight w:val="none"/>
          <w:lang w:val="en-US" w:eastAsia="zh-CN" w:bidi="ar-SA"/>
        </w:rPr>
        <w:t>顺着溢洪道右岸衔接至现状进村公路，采用半挖半填的方式，利用现状路基将现状进村公路路面高程填筑至229.62m（校核洪水位+安全超高）；拟建进村公路宽3.5m，长约240m，并于道路内侧设排水边沟。自建房前道路路面高程抬高为229.00m，并于库区侧增设挡墙，墙顶高程为229.62m；自建房前道路下埋排水管连接至库区便于雨天排水，管尾加设拍门，泄洪时关闭拍门防止洪水淹至自建房门前。</w:t>
      </w:r>
    </w:p>
    <w:p>
      <w:pPr>
        <w:rPr>
          <w:rFonts w:hint="default"/>
          <w:color w:val="auto"/>
          <w:highlight w:val="none"/>
        </w:rPr>
      </w:pPr>
      <w:r>
        <w:rPr>
          <w:rFonts w:hint="default"/>
          <w:color w:val="auto"/>
          <w:highlight w:val="none"/>
        </w:rPr>
        <w:t>2）溢洪道交通桥</w:t>
      </w:r>
    </w:p>
    <w:p>
      <w:pPr>
        <w:rPr>
          <w:rFonts w:hint="default"/>
          <w:color w:val="auto"/>
          <w:highlight w:val="none"/>
        </w:rPr>
      </w:pPr>
      <w:r>
        <w:rPr>
          <w:rFonts w:hint="default"/>
          <w:color w:val="auto"/>
          <w:highlight w:val="none"/>
        </w:rPr>
        <w:t>溢洪道交通桥主要用于连接主坝的坝顶交通。根据实际情况，参照《公路桥涵设计通用规范》（JTG D60-2015）等规范，采用设计标准中“公路-Ⅱ级车道荷载”考虑荷载作用效应，确定本工程交通桥设计方案。</w:t>
      </w:r>
    </w:p>
    <w:p>
      <w:pPr>
        <w:rPr>
          <w:rFonts w:hint="default"/>
          <w:color w:val="auto"/>
          <w:highlight w:val="none"/>
        </w:rPr>
      </w:pPr>
      <w:r>
        <w:rPr>
          <w:rFonts w:hint="default"/>
          <w:color w:val="auto"/>
          <w:highlight w:val="none"/>
        </w:rPr>
        <w:t>于溢洪道引水渠段增设C30砼桥墩，新建两岸挡墙，增设C30砼台帽架设预制空心板，每跨16m；桥面宽6m；桥面车辆荷载根据《公路桥涵设计通用规范》，均布荷载标准值10.5×0.75kN/m，集中荷载标准值188×0.75kN。</w:t>
      </w:r>
    </w:p>
    <w:p>
      <w:pPr>
        <w:pStyle w:val="5"/>
        <w:bidi w:val="0"/>
        <w:rPr>
          <w:rFonts w:hint="default"/>
          <w:color w:val="auto"/>
          <w:highlight w:val="none"/>
          <w:lang w:val="en-US" w:eastAsia="zh-CN"/>
        </w:rPr>
      </w:pPr>
      <w:bookmarkStart w:id="41" w:name="_Toc16939"/>
      <w:r>
        <w:rPr>
          <w:rFonts w:hint="eastAsia"/>
          <w:color w:val="auto"/>
          <w:highlight w:val="none"/>
          <w:lang w:val="en-US" w:eastAsia="zh-CN"/>
        </w:rPr>
        <w:t>1.5.7管理房</w:t>
      </w:r>
      <w:bookmarkEnd w:id="41"/>
    </w:p>
    <w:p>
      <w:pPr>
        <w:bidi w:val="0"/>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现状管理用房占地120m</w:t>
      </w:r>
      <w:r>
        <w:rPr>
          <w:rFonts w:hint="eastAsia" w:ascii="Times New Roman" w:hAnsi="Times New Roman" w:eastAsia="宋体" w:cs="Times New Roman"/>
          <w:color w:val="auto"/>
          <w:sz w:val="24"/>
          <w:szCs w:val="24"/>
          <w:highlight w:val="none"/>
          <w:vertAlign w:val="superscript"/>
          <w:lang w:val="en-US" w:eastAsia="zh-CN"/>
        </w:rPr>
        <w:t>2</w:t>
      </w:r>
      <w:r>
        <w:rPr>
          <w:rFonts w:hint="eastAsia" w:ascii="Times New Roman" w:hAnsi="Times New Roman" w:eastAsia="宋体" w:cs="Times New Roman"/>
          <w:color w:val="auto"/>
          <w:sz w:val="24"/>
          <w:szCs w:val="24"/>
          <w:highlight w:val="none"/>
          <w:lang w:val="en-US" w:eastAsia="zh-CN"/>
        </w:rPr>
        <w:t>。本次仅对其进行修缮，修缮主要措施为内墙粉刷。采用C30砼硬化管理房前小路，宽约2.5m，厚20cm；C30砼下铺设</w:t>
      </w:r>
      <w:r>
        <w:rPr>
          <w:rFonts w:hint="eastAsia" w:cs="Times New Roman"/>
          <w:color w:val="auto"/>
          <w:sz w:val="24"/>
          <w:szCs w:val="24"/>
          <w:highlight w:val="none"/>
          <w:lang w:val="en-US" w:eastAsia="zh-CN"/>
        </w:rPr>
        <w:t>8%</w:t>
      </w:r>
      <w:r>
        <w:rPr>
          <w:rFonts w:hint="default" w:ascii="Times New Roman" w:hAnsi="Times New Roman" w:eastAsia="宋体" w:cs="Times New Roman"/>
          <w:color w:val="auto"/>
          <w:sz w:val="24"/>
          <w:szCs w:val="24"/>
          <w:highlight w:val="none"/>
          <w:lang w:val="en-US" w:eastAsia="zh-CN"/>
        </w:rPr>
        <w:t>水泥石屑稳定</w:t>
      </w:r>
      <w:r>
        <w:rPr>
          <w:rFonts w:hint="default" w:ascii="Times New Roman" w:hAnsi="Times New Roman" w:eastAsia="宋体" w:cs="Times New Roman"/>
          <w:color w:val="auto"/>
          <w:sz w:val="24"/>
          <w:szCs w:val="24"/>
          <w:highlight w:val="none"/>
        </w:rPr>
        <w:t>层厚</w:t>
      </w:r>
      <w:r>
        <w:rPr>
          <w:rFonts w:hint="default" w:ascii="Times New Roman" w:hAnsi="Times New Roman" w:eastAsia="宋体" w:cs="Times New Roman"/>
          <w:color w:val="auto"/>
          <w:sz w:val="24"/>
          <w:szCs w:val="24"/>
          <w:highlight w:val="none"/>
          <w:lang w:val="en-US" w:eastAsia="zh-CN"/>
        </w:rPr>
        <w:t>15</w:t>
      </w:r>
      <w:r>
        <w:rPr>
          <w:rFonts w:hint="default" w:ascii="Times New Roman" w:hAnsi="Times New Roman" w:eastAsia="宋体" w:cs="Times New Roman"/>
          <w:color w:val="auto"/>
          <w:sz w:val="24"/>
          <w:szCs w:val="24"/>
          <w:highlight w:val="none"/>
        </w:rPr>
        <w:t>cm</w:t>
      </w:r>
      <w:r>
        <w:rPr>
          <w:rFonts w:hint="eastAsia" w:ascii="Times New Roman" w:hAnsi="Times New Roman" w:eastAsia="宋体" w:cs="Times New Roman"/>
          <w:color w:val="auto"/>
          <w:sz w:val="24"/>
          <w:szCs w:val="24"/>
          <w:highlight w:val="none"/>
          <w:lang w:val="en-US" w:eastAsia="zh-CN"/>
        </w:rPr>
        <w:t>。</w:t>
      </w:r>
    </w:p>
    <w:p>
      <w:pPr>
        <w:pStyle w:val="2"/>
        <w:rPr>
          <w:rFonts w:hint="default"/>
          <w:color w:val="auto"/>
          <w:highlight w:val="none"/>
          <w:lang w:val="en-US" w:eastAsia="zh-CN"/>
        </w:rPr>
      </w:pPr>
    </w:p>
    <w:p>
      <w:pPr>
        <w:pStyle w:val="4"/>
        <w:bidi w:val="0"/>
        <w:rPr>
          <w:rFonts w:hint="eastAsia"/>
          <w:color w:val="auto"/>
          <w:highlight w:val="none"/>
          <w:lang w:val="en-US" w:eastAsia="zh-CN"/>
        </w:rPr>
      </w:pPr>
      <w:bookmarkStart w:id="42" w:name="_Toc115711803"/>
      <w:r>
        <w:rPr>
          <w:rFonts w:hint="eastAsia"/>
          <w:color w:val="auto"/>
          <w:highlight w:val="none"/>
          <w:lang w:val="en-US" w:eastAsia="zh-CN"/>
        </w:rPr>
        <w:t>1.6机电及金属结构</w:t>
      </w:r>
      <w:bookmarkEnd w:id="42"/>
    </w:p>
    <w:p>
      <w:pPr>
        <w:pStyle w:val="5"/>
        <w:bidi w:val="0"/>
        <w:rPr>
          <w:rFonts w:hint="default"/>
          <w:color w:val="auto"/>
          <w:highlight w:val="none"/>
          <w:lang w:val="en-US" w:eastAsia="zh-CN"/>
        </w:rPr>
      </w:pPr>
      <w:r>
        <w:rPr>
          <w:rFonts w:hint="eastAsia"/>
          <w:color w:val="auto"/>
          <w:highlight w:val="none"/>
          <w:lang w:val="en-US" w:eastAsia="zh-CN"/>
        </w:rPr>
        <w:t>1.6.1机电设备</w:t>
      </w:r>
    </w:p>
    <w:p>
      <w:pPr>
        <w:rPr>
          <w:rFonts w:hint="eastAsia"/>
          <w:color w:val="auto"/>
          <w:sz w:val="24"/>
          <w:szCs w:val="24"/>
          <w:highlight w:val="none"/>
          <w:lang w:val="en-US" w:eastAsia="zh-CN"/>
        </w:rPr>
      </w:pPr>
      <w:r>
        <w:rPr>
          <w:rFonts w:hint="eastAsia"/>
          <w:color w:val="auto"/>
          <w:sz w:val="24"/>
          <w:szCs w:val="24"/>
          <w:highlight w:val="none"/>
          <w:lang w:val="en-US" w:eastAsia="zh-CN"/>
        </w:rPr>
        <w:t>本次除险加固工程机电设备主要为新增监测设备的供电及通讯子系统。</w:t>
      </w:r>
    </w:p>
    <w:p>
      <w:pPr>
        <w:pStyle w:val="5"/>
        <w:bidi w:val="0"/>
        <w:rPr>
          <w:rFonts w:hint="default"/>
          <w:color w:val="auto"/>
          <w:highlight w:val="none"/>
          <w:lang w:val="en-US" w:eastAsia="zh-CN"/>
        </w:rPr>
      </w:pPr>
      <w:bookmarkStart w:id="43" w:name="_Toc29489"/>
      <w:r>
        <w:rPr>
          <w:rFonts w:hint="eastAsia"/>
          <w:color w:val="auto"/>
          <w:highlight w:val="none"/>
          <w:lang w:val="en-US" w:eastAsia="zh-CN"/>
        </w:rPr>
        <w:t>1.6.2金属结构</w:t>
      </w:r>
      <w:bookmarkEnd w:id="43"/>
    </w:p>
    <w:p>
      <w:pPr>
        <w:bidi w:val="0"/>
        <w:rPr>
          <w:rFonts w:hint="eastAsia"/>
          <w:color w:val="auto"/>
          <w:highlight w:val="none"/>
          <w:lang w:eastAsia="zh-CN"/>
        </w:rPr>
      </w:pPr>
      <w:r>
        <w:rPr>
          <w:rFonts w:hint="eastAsia"/>
          <w:color w:val="auto"/>
          <w:highlight w:val="none"/>
          <w:lang w:val="en-US" w:eastAsia="zh-CN"/>
        </w:rPr>
        <w:t>本工程涉及的金属结构</w:t>
      </w:r>
      <w:r>
        <w:rPr>
          <w:color w:val="auto"/>
          <w:highlight w:val="none"/>
        </w:rPr>
        <w:t>主要是</w:t>
      </w:r>
      <w:r>
        <w:rPr>
          <w:rFonts w:hint="eastAsia"/>
          <w:color w:val="auto"/>
          <w:highlight w:val="none"/>
          <w:lang w:val="en-US" w:eastAsia="zh-CN"/>
        </w:rPr>
        <w:t>坝后电站进口闸门及阀门更换</w:t>
      </w:r>
      <w:r>
        <w:rPr>
          <w:color w:val="auto"/>
          <w:highlight w:val="none"/>
        </w:rPr>
        <w:t>。金属结构共计有铸铁闸门1扇，手动蝶阀1台</w:t>
      </w:r>
      <w:r>
        <w:rPr>
          <w:rFonts w:hint="eastAsia"/>
          <w:color w:val="auto"/>
          <w:highlight w:val="none"/>
          <w:lang w:eastAsia="zh-CN"/>
        </w:rPr>
        <w:t>。</w:t>
      </w:r>
    </w:p>
    <w:p>
      <w:pPr>
        <w:keepNext w:val="0"/>
        <w:keepLines w:val="0"/>
        <w:pageBreakBefore w:val="0"/>
        <w:widowControl w:val="0"/>
        <w:tabs>
          <w:tab w:val="left" w:pos="3285"/>
        </w:tabs>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b w:val="0"/>
          <w:bCs w:val="0"/>
          <w:color w:val="auto"/>
          <w:sz w:val="24"/>
          <w:highlight w:val="none"/>
        </w:rPr>
      </w:pPr>
      <w:r>
        <w:rPr>
          <w:rFonts w:hint="default" w:ascii="Times New Roman" w:hAnsi="Times New Roman" w:eastAsia="宋体" w:cs="Times New Roman"/>
          <w:b w:val="0"/>
          <w:bCs w:val="0"/>
          <w:color w:val="auto"/>
          <w:sz w:val="24"/>
          <w:highlight w:val="none"/>
        </w:rPr>
        <w:t>表</w:t>
      </w:r>
      <w:r>
        <w:rPr>
          <w:rFonts w:hint="eastAsia" w:ascii="Times New Roman" w:hAnsi="Times New Roman" w:eastAsia="宋体" w:cs="Times New Roman"/>
          <w:b w:val="0"/>
          <w:bCs w:val="0"/>
          <w:color w:val="auto"/>
          <w:sz w:val="24"/>
          <w:highlight w:val="none"/>
          <w:lang w:val="en-US" w:eastAsia="zh-CN"/>
        </w:rPr>
        <w:t>1.6-1</w:t>
      </w:r>
      <w:r>
        <w:rPr>
          <w:rFonts w:hint="default" w:ascii="Times New Roman" w:hAnsi="Times New Roman" w:eastAsia="宋体" w:cs="Times New Roman"/>
          <w:b w:val="0"/>
          <w:bCs w:val="0"/>
          <w:color w:val="auto"/>
          <w:sz w:val="24"/>
          <w:highlight w:val="none"/>
        </w:rPr>
        <w:t xml:space="preserve">  金属结构主要设备清单</w:t>
      </w:r>
    </w:p>
    <w:tbl>
      <w:tblPr>
        <w:tblStyle w:val="23"/>
        <w:tblW w:w="5000" w:type="pct"/>
        <w:tblInd w:w="0" w:type="dxa"/>
        <w:tblLayout w:type="fixed"/>
        <w:tblCellMar>
          <w:top w:w="0" w:type="dxa"/>
          <w:left w:w="108" w:type="dxa"/>
          <w:bottom w:w="0" w:type="dxa"/>
          <w:right w:w="108" w:type="dxa"/>
        </w:tblCellMar>
      </w:tblPr>
      <w:tblGrid>
        <w:gridCol w:w="867"/>
        <w:gridCol w:w="1595"/>
        <w:gridCol w:w="2322"/>
        <w:gridCol w:w="725"/>
        <w:gridCol w:w="726"/>
        <w:gridCol w:w="730"/>
        <w:gridCol w:w="1558"/>
      </w:tblGrid>
      <w:tr>
        <w:tblPrEx>
          <w:tblCellMar>
            <w:top w:w="0" w:type="dxa"/>
            <w:left w:w="108" w:type="dxa"/>
            <w:bottom w:w="0" w:type="dxa"/>
            <w:right w:w="108" w:type="dxa"/>
          </w:tblCellMar>
        </w:tblPrEx>
        <w:trPr>
          <w:trHeight w:val="450" w:hRule="atLeast"/>
          <w:tblHeader/>
        </w:trPr>
        <w:tc>
          <w:tcPr>
            <w:tcW w:w="508" w:type="pct"/>
            <w:vMerge w:val="restart"/>
            <w:tcBorders>
              <w:top w:val="single" w:color="auto" w:sz="4" w:space="0"/>
              <w:left w:val="single" w:color="auto" w:sz="4" w:space="0"/>
              <w:bottom w:val="single" w:color="auto" w:sz="4" w:space="0"/>
              <w:right w:val="single" w:color="auto" w:sz="4" w:space="0"/>
            </w:tcBorders>
            <w:noWrap w:val="0"/>
            <w:vAlign w:val="center"/>
          </w:tcPr>
          <w:p>
            <w:pPr>
              <w:pStyle w:val="40"/>
              <w:spacing w:before="72" w:after="72"/>
              <w:rPr>
                <w:rFonts w:ascii="Times New Roman" w:hAnsi="Times New Roman"/>
                <w:color w:val="auto"/>
                <w:szCs w:val="21"/>
                <w:highlight w:val="none"/>
              </w:rPr>
            </w:pPr>
            <w:r>
              <w:rPr>
                <w:rFonts w:ascii="Times New Roman" w:hAnsi="Times New Roman"/>
                <w:color w:val="auto"/>
                <w:szCs w:val="21"/>
                <w:highlight w:val="none"/>
              </w:rPr>
              <w:t>序号</w:t>
            </w:r>
          </w:p>
        </w:tc>
        <w:tc>
          <w:tcPr>
            <w:tcW w:w="935" w:type="pct"/>
            <w:vMerge w:val="restart"/>
            <w:tcBorders>
              <w:top w:val="single" w:color="auto" w:sz="4" w:space="0"/>
              <w:left w:val="single" w:color="auto" w:sz="4" w:space="0"/>
              <w:bottom w:val="single" w:color="auto" w:sz="4" w:space="0"/>
              <w:right w:val="single" w:color="auto" w:sz="4" w:space="0"/>
            </w:tcBorders>
            <w:noWrap w:val="0"/>
            <w:vAlign w:val="center"/>
          </w:tcPr>
          <w:p>
            <w:pPr>
              <w:pStyle w:val="40"/>
              <w:spacing w:before="72" w:after="72"/>
              <w:rPr>
                <w:rFonts w:ascii="Times New Roman" w:hAnsi="Times New Roman"/>
                <w:color w:val="auto"/>
                <w:szCs w:val="21"/>
                <w:highlight w:val="none"/>
              </w:rPr>
            </w:pPr>
            <w:r>
              <w:rPr>
                <w:rFonts w:ascii="Times New Roman" w:hAnsi="Times New Roman"/>
                <w:color w:val="auto"/>
                <w:szCs w:val="21"/>
                <w:highlight w:val="none"/>
              </w:rPr>
              <w:t>分   项</w:t>
            </w:r>
          </w:p>
        </w:tc>
        <w:tc>
          <w:tcPr>
            <w:tcW w:w="1362" w:type="pct"/>
            <w:vMerge w:val="restart"/>
            <w:tcBorders>
              <w:top w:val="single" w:color="auto" w:sz="4" w:space="0"/>
              <w:left w:val="single" w:color="auto" w:sz="4" w:space="0"/>
              <w:bottom w:val="single" w:color="auto" w:sz="4" w:space="0"/>
              <w:right w:val="single" w:color="auto" w:sz="4" w:space="0"/>
            </w:tcBorders>
            <w:noWrap w:val="0"/>
            <w:vAlign w:val="center"/>
          </w:tcPr>
          <w:p>
            <w:pPr>
              <w:pStyle w:val="40"/>
              <w:spacing w:before="72" w:after="72"/>
              <w:rPr>
                <w:rFonts w:ascii="Times New Roman" w:hAnsi="Times New Roman"/>
                <w:color w:val="auto"/>
                <w:szCs w:val="21"/>
                <w:highlight w:val="none"/>
              </w:rPr>
            </w:pPr>
            <w:r>
              <w:rPr>
                <w:rFonts w:ascii="Times New Roman" w:hAnsi="Times New Roman"/>
                <w:color w:val="auto"/>
                <w:szCs w:val="21"/>
                <w:highlight w:val="none"/>
              </w:rPr>
              <w:t>规格(宽×高-水头，m)</w:t>
            </w:r>
          </w:p>
        </w:tc>
        <w:tc>
          <w:tcPr>
            <w:tcW w:w="425" w:type="pct"/>
            <w:vMerge w:val="restart"/>
            <w:tcBorders>
              <w:top w:val="single" w:color="auto" w:sz="4" w:space="0"/>
              <w:left w:val="single" w:color="auto" w:sz="4" w:space="0"/>
              <w:bottom w:val="single" w:color="auto" w:sz="4" w:space="0"/>
              <w:right w:val="single" w:color="auto" w:sz="4" w:space="0"/>
            </w:tcBorders>
            <w:noWrap w:val="0"/>
            <w:vAlign w:val="center"/>
          </w:tcPr>
          <w:p>
            <w:pPr>
              <w:pStyle w:val="40"/>
              <w:spacing w:before="72" w:after="72"/>
              <w:rPr>
                <w:rFonts w:ascii="Times New Roman" w:hAnsi="Times New Roman"/>
                <w:color w:val="auto"/>
                <w:szCs w:val="21"/>
                <w:highlight w:val="none"/>
              </w:rPr>
            </w:pPr>
            <w:r>
              <w:rPr>
                <w:rFonts w:ascii="Times New Roman" w:hAnsi="Times New Roman"/>
                <w:color w:val="auto"/>
                <w:szCs w:val="21"/>
                <w:highlight w:val="none"/>
              </w:rPr>
              <w:t>数量</w:t>
            </w:r>
          </w:p>
        </w:tc>
        <w:tc>
          <w:tcPr>
            <w:tcW w:w="854" w:type="pct"/>
            <w:gridSpan w:val="2"/>
            <w:tcBorders>
              <w:top w:val="single" w:color="auto" w:sz="4" w:space="0"/>
              <w:left w:val="single" w:color="auto" w:sz="4" w:space="0"/>
              <w:bottom w:val="single" w:color="auto" w:sz="4" w:space="0"/>
              <w:right w:val="single" w:color="auto" w:sz="4" w:space="0"/>
            </w:tcBorders>
            <w:noWrap w:val="0"/>
            <w:vAlign w:val="center"/>
          </w:tcPr>
          <w:p>
            <w:pPr>
              <w:pStyle w:val="40"/>
              <w:spacing w:before="72" w:after="72"/>
              <w:rPr>
                <w:rFonts w:ascii="Times New Roman" w:hAnsi="Times New Roman"/>
                <w:color w:val="auto"/>
                <w:szCs w:val="21"/>
                <w:highlight w:val="none"/>
              </w:rPr>
            </w:pPr>
            <w:r>
              <w:rPr>
                <w:rFonts w:ascii="Times New Roman" w:hAnsi="Times New Roman"/>
                <w:color w:val="auto"/>
                <w:szCs w:val="21"/>
                <w:highlight w:val="none"/>
              </w:rPr>
              <w:t>重量（t）</w:t>
            </w:r>
          </w:p>
        </w:tc>
        <w:tc>
          <w:tcPr>
            <w:tcW w:w="913" w:type="pct"/>
            <w:vMerge w:val="restart"/>
            <w:tcBorders>
              <w:top w:val="single" w:color="auto" w:sz="4" w:space="0"/>
              <w:left w:val="single" w:color="auto" w:sz="4" w:space="0"/>
              <w:bottom w:val="single" w:color="auto" w:sz="4" w:space="0"/>
              <w:right w:val="single" w:color="auto" w:sz="4" w:space="0"/>
            </w:tcBorders>
            <w:noWrap w:val="0"/>
            <w:vAlign w:val="center"/>
          </w:tcPr>
          <w:p>
            <w:pPr>
              <w:pStyle w:val="40"/>
              <w:spacing w:before="72" w:after="72"/>
              <w:rPr>
                <w:rFonts w:ascii="Times New Roman" w:hAnsi="Times New Roman"/>
                <w:color w:val="auto"/>
                <w:szCs w:val="21"/>
                <w:highlight w:val="none"/>
              </w:rPr>
            </w:pPr>
            <w:r>
              <w:rPr>
                <w:rFonts w:ascii="Times New Roman" w:hAnsi="Times New Roman"/>
                <w:color w:val="auto"/>
                <w:szCs w:val="21"/>
                <w:highlight w:val="none"/>
              </w:rPr>
              <w:t>备  注</w:t>
            </w:r>
          </w:p>
        </w:tc>
      </w:tr>
      <w:tr>
        <w:tblPrEx>
          <w:tblCellMar>
            <w:top w:w="0" w:type="dxa"/>
            <w:left w:w="108" w:type="dxa"/>
            <w:bottom w:w="0" w:type="dxa"/>
            <w:right w:w="108" w:type="dxa"/>
          </w:tblCellMar>
        </w:tblPrEx>
        <w:trPr>
          <w:trHeight w:val="360" w:hRule="atLeast"/>
          <w:tblHeader/>
        </w:trPr>
        <w:tc>
          <w:tcPr>
            <w:tcW w:w="508" w:type="pct"/>
            <w:vMerge w:val="continue"/>
            <w:tcBorders>
              <w:top w:val="single" w:color="auto" w:sz="4" w:space="0"/>
              <w:left w:val="single" w:color="auto" w:sz="4" w:space="0"/>
              <w:bottom w:val="single" w:color="auto" w:sz="4" w:space="0"/>
              <w:right w:val="single" w:color="auto" w:sz="4" w:space="0"/>
            </w:tcBorders>
            <w:noWrap w:val="0"/>
            <w:vAlign w:val="center"/>
          </w:tcPr>
          <w:p>
            <w:pPr>
              <w:pStyle w:val="40"/>
              <w:spacing w:before="72" w:after="72"/>
              <w:rPr>
                <w:rFonts w:ascii="Times New Roman" w:hAnsi="Times New Roman"/>
                <w:color w:val="auto"/>
                <w:szCs w:val="21"/>
                <w:highlight w:val="none"/>
              </w:rPr>
            </w:pPr>
          </w:p>
        </w:tc>
        <w:tc>
          <w:tcPr>
            <w:tcW w:w="935" w:type="pct"/>
            <w:vMerge w:val="continue"/>
            <w:tcBorders>
              <w:top w:val="single" w:color="auto" w:sz="4" w:space="0"/>
              <w:left w:val="single" w:color="auto" w:sz="4" w:space="0"/>
              <w:bottom w:val="single" w:color="auto" w:sz="4" w:space="0"/>
              <w:right w:val="single" w:color="auto" w:sz="4" w:space="0"/>
            </w:tcBorders>
            <w:noWrap w:val="0"/>
            <w:vAlign w:val="center"/>
          </w:tcPr>
          <w:p>
            <w:pPr>
              <w:pStyle w:val="40"/>
              <w:spacing w:before="72" w:after="72"/>
              <w:rPr>
                <w:rFonts w:ascii="Times New Roman" w:hAnsi="Times New Roman"/>
                <w:color w:val="auto"/>
                <w:szCs w:val="21"/>
                <w:highlight w:val="none"/>
              </w:rPr>
            </w:pPr>
          </w:p>
        </w:tc>
        <w:tc>
          <w:tcPr>
            <w:tcW w:w="1362" w:type="pct"/>
            <w:vMerge w:val="continue"/>
            <w:tcBorders>
              <w:top w:val="single" w:color="auto" w:sz="4" w:space="0"/>
              <w:left w:val="single" w:color="auto" w:sz="4" w:space="0"/>
              <w:bottom w:val="single" w:color="auto" w:sz="4" w:space="0"/>
              <w:right w:val="single" w:color="auto" w:sz="4" w:space="0"/>
            </w:tcBorders>
            <w:noWrap w:val="0"/>
            <w:vAlign w:val="center"/>
          </w:tcPr>
          <w:p>
            <w:pPr>
              <w:pStyle w:val="40"/>
              <w:spacing w:before="72" w:after="72"/>
              <w:rPr>
                <w:rFonts w:ascii="Times New Roman" w:hAnsi="Times New Roman"/>
                <w:color w:val="auto"/>
                <w:szCs w:val="21"/>
                <w:highlight w:val="none"/>
              </w:rPr>
            </w:pPr>
          </w:p>
        </w:tc>
        <w:tc>
          <w:tcPr>
            <w:tcW w:w="425" w:type="pct"/>
            <w:vMerge w:val="continue"/>
            <w:tcBorders>
              <w:top w:val="single" w:color="auto" w:sz="4" w:space="0"/>
              <w:left w:val="single" w:color="auto" w:sz="4" w:space="0"/>
              <w:bottom w:val="single" w:color="auto" w:sz="4" w:space="0"/>
              <w:right w:val="single" w:color="auto" w:sz="4" w:space="0"/>
            </w:tcBorders>
            <w:noWrap w:val="0"/>
            <w:vAlign w:val="center"/>
          </w:tcPr>
          <w:p>
            <w:pPr>
              <w:pStyle w:val="40"/>
              <w:spacing w:before="72" w:after="72"/>
              <w:rPr>
                <w:rFonts w:ascii="Times New Roman" w:hAnsi="Times New Roman"/>
                <w:color w:val="auto"/>
                <w:szCs w:val="21"/>
                <w:highlight w:val="none"/>
              </w:rPr>
            </w:pPr>
          </w:p>
        </w:tc>
        <w:tc>
          <w:tcPr>
            <w:tcW w:w="425" w:type="pct"/>
            <w:tcBorders>
              <w:top w:val="single" w:color="auto" w:sz="4" w:space="0"/>
              <w:left w:val="single" w:color="auto" w:sz="4" w:space="0"/>
              <w:bottom w:val="single" w:color="auto" w:sz="4" w:space="0"/>
              <w:right w:val="single" w:color="auto" w:sz="4" w:space="0"/>
            </w:tcBorders>
            <w:noWrap w:val="0"/>
            <w:vAlign w:val="center"/>
          </w:tcPr>
          <w:p>
            <w:pPr>
              <w:pStyle w:val="40"/>
              <w:spacing w:before="72" w:after="72"/>
              <w:rPr>
                <w:rFonts w:ascii="Times New Roman" w:hAnsi="Times New Roman"/>
                <w:color w:val="auto"/>
                <w:szCs w:val="21"/>
                <w:highlight w:val="none"/>
              </w:rPr>
            </w:pPr>
            <w:r>
              <w:rPr>
                <w:rFonts w:ascii="Times New Roman" w:hAnsi="Times New Roman"/>
                <w:color w:val="auto"/>
                <w:szCs w:val="21"/>
                <w:highlight w:val="none"/>
              </w:rPr>
              <w:t>单重</w:t>
            </w:r>
          </w:p>
        </w:tc>
        <w:tc>
          <w:tcPr>
            <w:tcW w:w="428" w:type="pct"/>
            <w:tcBorders>
              <w:top w:val="single" w:color="auto" w:sz="4" w:space="0"/>
              <w:left w:val="single" w:color="auto" w:sz="4" w:space="0"/>
              <w:bottom w:val="single" w:color="auto" w:sz="4" w:space="0"/>
              <w:right w:val="single" w:color="auto" w:sz="4" w:space="0"/>
            </w:tcBorders>
            <w:noWrap w:val="0"/>
            <w:vAlign w:val="center"/>
          </w:tcPr>
          <w:p>
            <w:pPr>
              <w:pStyle w:val="40"/>
              <w:spacing w:before="72" w:after="72"/>
              <w:rPr>
                <w:rFonts w:ascii="Times New Roman" w:hAnsi="Times New Roman"/>
                <w:color w:val="auto"/>
                <w:szCs w:val="21"/>
                <w:highlight w:val="none"/>
              </w:rPr>
            </w:pPr>
            <w:r>
              <w:rPr>
                <w:rFonts w:ascii="Times New Roman" w:hAnsi="Times New Roman"/>
                <w:color w:val="auto"/>
                <w:szCs w:val="21"/>
                <w:highlight w:val="none"/>
              </w:rPr>
              <w:t>总重</w:t>
            </w:r>
          </w:p>
        </w:tc>
        <w:tc>
          <w:tcPr>
            <w:tcW w:w="913" w:type="pct"/>
            <w:vMerge w:val="continue"/>
            <w:tcBorders>
              <w:top w:val="single" w:color="auto" w:sz="4" w:space="0"/>
              <w:left w:val="single" w:color="auto" w:sz="4" w:space="0"/>
              <w:bottom w:val="single" w:color="auto" w:sz="4" w:space="0"/>
              <w:right w:val="single" w:color="auto" w:sz="4" w:space="0"/>
            </w:tcBorders>
            <w:noWrap w:val="0"/>
            <w:vAlign w:val="center"/>
          </w:tcPr>
          <w:p>
            <w:pPr>
              <w:pStyle w:val="40"/>
              <w:spacing w:before="72" w:after="72"/>
              <w:rPr>
                <w:rFonts w:ascii="Times New Roman" w:hAnsi="Times New Roman"/>
                <w:color w:val="auto"/>
                <w:szCs w:val="21"/>
                <w:highlight w:val="none"/>
              </w:rPr>
            </w:pPr>
          </w:p>
        </w:tc>
      </w:tr>
      <w:tr>
        <w:tblPrEx>
          <w:tblCellMar>
            <w:top w:w="0" w:type="dxa"/>
            <w:left w:w="108" w:type="dxa"/>
            <w:bottom w:w="0" w:type="dxa"/>
            <w:right w:w="108" w:type="dxa"/>
          </w:tblCellMar>
        </w:tblPrEx>
        <w:trPr>
          <w:trHeight w:val="401" w:hRule="atLeast"/>
        </w:trPr>
        <w:tc>
          <w:tcPr>
            <w:tcW w:w="508" w:type="pct"/>
            <w:tcBorders>
              <w:top w:val="single" w:color="auto" w:sz="4" w:space="0"/>
              <w:left w:val="single" w:color="auto" w:sz="4" w:space="0"/>
              <w:bottom w:val="single" w:color="auto" w:sz="4" w:space="0"/>
              <w:right w:val="single" w:color="auto" w:sz="4" w:space="0"/>
            </w:tcBorders>
            <w:noWrap w:val="0"/>
            <w:vAlign w:val="center"/>
          </w:tcPr>
          <w:p>
            <w:pPr>
              <w:pStyle w:val="40"/>
              <w:spacing w:before="72" w:after="72"/>
              <w:rPr>
                <w:rFonts w:ascii="Times New Roman" w:hAnsi="Times New Roman"/>
                <w:color w:val="auto"/>
                <w:szCs w:val="21"/>
                <w:highlight w:val="none"/>
              </w:rPr>
            </w:pPr>
            <w:r>
              <w:rPr>
                <w:rFonts w:ascii="Times New Roman" w:hAnsi="Times New Roman"/>
                <w:color w:val="auto"/>
                <w:szCs w:val="21"/>
                <w:highlight w:val="none"/>
              </w:rPr>
              <w:t>1</w:t>
            </w:r>
          </w:p>
        </w:tc>
        <w:tc>
          <w:tcPr>
            <w:tcW w:w="935" w:type="pct"/>
            <w:tcBorders>
              <w:top w:val="single" w:color="auto" w:sz="4" w:space="0"/>
              <w:left w:val="single" w:color="auto" w:sz="4" w:space="0"/>
              <w:bottom w:val="single" w:color="auto" w:sz="4" w:space="0"/>
              <w:right w:val="single" w:color="auto" w:sz="4" w:space="0"/>
            </w:tcBorders>
            <w:noWrap w:val="0"/>
            <w:vAlign w:val="center"/>
          </w:tcPr>
          <w:p>
            <w:pPr>
              <w:pStyle w:val="40"/>
              <w:spacing w:before="72" w:after="72"/>
              <w:rPr>
                <w:rFonts w:ascii="Times New Roman" w:hAnsi="Times New Roman"/>
                <w:color w:val="auto"/>
                <w:szCs w:val="21"/>
                <w:highlight w:val="none"/>
              </w:rPr>
            </w:pPr>
            <w:r>
              <w:rPr>
                <w:rFonts w:ascii="Times New Roman" w:hAnsi="Times New Roman"/>
                <w:color w:val="auto"/>
                <w:szCs w:val="21"/>
                <w:highlight w:val="none"/>
              </w:rPr>
              <w:t>工作闸门</w:t>
            </w:r>
          </w:p>
        </w:tc>
        <w:tc>
          <w:tcPr>
            <w:tcW w:w="2322" w:type="dxa"/>
            <w:tcBorders>
              <w:top w:val="single" w:color="auto" w:sz="4" w:space="0"/>
              <w:left w:val="single" w:color="auto" w:sz="4" w:space="0"/>
              <w:bottom w:val="single" w:color="auto" w:sz="4" w:space="0"/>
              <w:right w:val="single" w:color="auto" w:sz="4" w:space="0"/>
            </w:tcBorders>
            <w:noWrap w:val="0"/>
            <w:vAlign w:val="center"/>
          </w:tcPr>
          <w:p>
            <w:pPr>
              <w:pStyle w:val="40"/>
              <w:spacing w:before="72" w:after="72"/>
              <w:rPr>
                <w:rFonts w:ascii="Times New Roman" w:hAnsi="Times New Roman"/>
                <w:color w:val="auto"/>
                <w:szCs w:val="21"/>
                <w:highlight w:val="none"/>
              </w:rPr>
            </w:pPr>
            <w:r>
              <w:rPr>
                <w:rFonts w:ascii="Times New Roman" w:hAnsi="Times New Roman"/>
                <w:color w:val="auto"/>
                <w:szCs w:val="21"/>
                <w:highlight w:val="none"/>
              </w:rPr>
              <w:t>PGZ</w:t>
            </w:r>
            <w:r>
              <w:rPr>
                <w:rFonts w:hint="eastAsia"/>
                <w:color w:val="auto"/>
                <w:szCs w:val="21"/>
                <w:highlight w:val="none"/>
                <w:lang w:val="en-US" w:eastAsia="zh-CN"/>
              </w:rPr>
              <w:t>1</w:t>
            </w:r>
            <w:r>
              <w:rPr>
                <w:rFonts w:ascii="Times New Roman" w:hAnsi="Times New Roman"/>
                <w:color w:val="auto"/>
                <w:szCs w:val="21"/>
                <w:highlight w:val="none"/>
              </w:rPr>
              <w:t>.5×</w:t>
            </w:r>
            <w:r>
              <w:rPr>
                <w:rFonts w:hint="eastAsia"/>
                <w:color w:val="auto"/>
                <w:szCs w:val="21"/>
                <w:highlight w:val="none"/>
                <w:lang w:val="en-US" w:eastAsia="zh-CN"/>
              </w:rPr>
              <w:t>1</w:t>
            </w:r>
            <w:r>
              <w:rPr>
                <w:rFonts w:ascii="Times New Roman" w:hAnsi="Times New Roman"/>
                <w:color w:val="auto"/>
                <w:szCs w:val="21"/>
                <w:highlight w:val="none"/>
              </w:rPr>
              <w:t>.5耐蚀镶铜平面铸铁闸门</w:t>
            </w:r>
          </w:p>
        </w:tc>
        <w:tc>
          <w:tcPr>
            <w:tcW w:w="725" w:type="dxa"/>
            <w:tcBorders>
              <w:top w:val="single" w:color="auto" w:sz="4" w:space="0"/>
              <w:left w:val="single" w:color="auto" w:sz="4" w:space="0"/>
              <w:bottom w:val="single" w:color="auto" w:sz="4" w:space="0"/>
              <w:right w:val="single" w:color="auto" w:sz="4" w:space="0"/>
            </w:tcBorders>
            <w:noWrap w:val="0"/>
            <w:vAlign w:val="center"/>
          </w:tcPr>
          <w:p>
            <w:pPr>
              <w:pStyle w:val="40"/>
              <w:spacing w:before="72" w:after="72"/>
              <w:rPr>
                <w:rFonts w:ascii="Times New Roman" w:hAnsi="Times New Roman"/>
                <w:color w:val="auto"/>
                <w:szCs w:val="21"/>
                <w:highlight w:val="none"/>
              </w:rPr>
            </w:pPr>
            <w:r>
              <w:rPr>
                <w:rFonts w:ascii="Times New Roman" w:hAnsi="Times New Roman"/>
                <w:color w:val="auto"/>
                <w:szCs w:val="21"/>
                <w:highlight w:val="none"/>
              </w:rPr>
              <w:t>1</w:t>
            </w:r>
          </w:p>
        </w:tc>
        <w:tc>
          <w:tcPr>
            <w:tcW w:w="726" w:type="dxa"/>
            <w:tcBorders>
              <w:top w:val="single" w:color="auto" w:sz="4" w:space="0"/>
              <w:left w:val="single" w:color="auto" w:sz="4" w:space="0"/>
              <w:bottom w:val="single" w:color="auto" w:sz="4" w:space="0"/>
              <w:right w:val="single" w:color="auto" w:sz="4" w:space="0"/>
            </w:tcBorders>
            <w:noWrap w:val="0"/>
            <w:vAlign w:val="center"/>
          </w:tcPr>
          <w:p>
            <w:pPr>
              <w:pStyle w:val="40"/>
              <w:spacing w:before="72" w:after="72"/>
              <w:rPr>
                <w:rFonts w:hint="default" w:ascii="Times New Roman" w:hAnsi="Times New Roman" w:eastAsia="宋体"/>
                <w:color w:val="auto"/>
                <w:szCs w:val="21"/>
                <w:highlight w:val="none"/>
                <w:lang w:val="en-US" w:eastAsia="zh-CN"/>
              </w:rPr>
            </w:pPr>
            <w:r>
              <w:rPr>
                <w:rFonts w:hint="eastAsia"/>
                <w:color w:val="auto"/>
                <w:szCs w:val="21"/>
                <w:highlight w:val="none"/>
                <w:lang w:val="en-US" w:eastAsia="zh-CN"/>
              </w:rPr>
              <w:t>2</w:t>
            </w:r>
          </w:p>
        </w:tc>
        <w:tc>
          <w:tcPr>
            <w:tcW w:w="730" w:type="dxa"/>
            <w:tcBorders>
              <w:top w:val="single" w:color="auto" w:sz="4" w:space="0"/>
              <w:left w:val="single" w:color="auto" w:sz="4" w:space="0"/>
              <w:bottom w:val="single" w:color="auto" w:sz="4" w:space="0"/>
              <w:right w:val="single" w:color="auto" w:sz="4" w:space="0"/>
            </w:tcBorders>
            <w:noWrap w:val="0"/>
            <w:vAlign w:val="center"/>
          </w:tcPr>
          <w:p>
            <w:pPr>
              <w:pStyle w:val="40"/>
              <w:spacing w:before="72" w:after="72"/>
              <w:rPr>
                <w:rFonts w:hint="default" w:ascii="Times New Roman" w:hAnsi="Times New Roman" w:eastAsia="宋体"/>
                <w:color w:val="auto"/>
                <w:szCs w:val="21"/>
                <w:highlight w:val="none"/>
                <w:lang w:val="en-US" w:eastAsia="zh-CN"/>
              </w:rPr>
            </w:pPr>
            <w:r>
              <w:rPr>
                <w:rFonts w:hint="eastAsia"/>
                <w:color w:val="auto"/>
                <w:szCs w:val="21"/>
                <w:highlight w:val="none"/>
                <w:lang w:val="en-US" w:eastAsia="zh-CN"/>
              </w:rPr>
              <w:t>2</w:t>
            </w:r>
          </w:p>
        </w:tc>
        <w:tc>
          <w:tcPr>
            <w:tcW w:w="1558" w:type="dxa"/>
            <w:tcBorders>
              <w:top w:val="single" w:color="auto" w:sz="4" w:space="0"/>
              <w:left w:val="single" w:color="auto" w:sz="4" w:space="0"/>
              <w:bottom w:val="single" w:color="auto" w:sz="4" w:space="0"/>
              <w:right w:val="single" w:color="auto" w:sz="4" w:space="0"/>
            </w:tcBorders>
            <w:noWrap w:val="0"/>
            <w:vAlign w:val="center"/>
          </w:tcPr>
          <w:p>
            <w:pPr>
              <w:pStyle w:val="40"/>
              <w:spacing w:before="72" w:after="72"/>
              <w:rPr>
                <w:rFonts w:ascii="Times New Roman" w:hAnsi="Times New Roman"/>
                <w:color w:val="auto"/>
                <w:szCs w:val="21"/>
                <w:highlight w:val="none"/>
              </w:rPr>
            </w:pPr>
            <w:r>
              <w:rPr>
                <w:rFonts w:ascii="Times New Roman" w:hAnsi="Times New Roman"/>
                <w:color w:val="auto"/>
                <w:szCs w:val="21"/>
                <w:highlight w:val="none"/>
              </w:rPr>
              <w:t>含门框</w:t>
            </w:r>
          </w:p>
        </w:tc>
      </w:tr>
      <w:tr>
        <w:tblPrEx>
          <w:tblCellMar>
            <w:top w:w="0" w:type="dxa"/>
            <w:left w:w="108" w:type="dxa"/>
            <w:bottom w:w="0" w:type="dxa"/>
            <w:right w:w="108" w:type="dxa"/>
          </w:tblCellMar>
        </w:tblPrEx>
        <w:trPr>
          <w:trHeight w:val="360" w:hRule="atLeast"/>
        </w:trPr>
        <w:tc>
          <w:tcPr>
            <w:tcW w:w="508" w:type="pct"/>
            <w:tcBorders>
              <w:top w:val="nil"/>
              <w:left w:val="single" w:color="auto" w:sz="4" w:space="0"/>
              <w:bottom w:val="single" w:color="auto" w:sz="4" w:space="0"/>
              <w:right w:val="single" w:color="auto" w:sz="4" w:space="0"/>
            </w:tcBorders>
            <w:noWrap w:val="0"/>
            <w:vAlign w:val="center"/>
          </w:tcPr>
          <w:p>
            <w:pPr>
              <w:pStyle w:val="40"/>
              <w:spacing w:before="72" w:after="72"/>
              <w:rPr>
                <w:rFonts w:hint="eastAsia" w:ascii="Times New Roman" w:hAnsi="Times New Roman" w:eastAsia="宋体"/>
                <w:color w:val="auto"/>
                <w:szCs w:val="21"/>
                <w:highlight w:val="none"/>
                <w:lang w:eastAsia="zh-CN"/>
              </w:rPr>
            </w:pPr>
            <w:r>
              <w:rPr>
                <w:rFonts w:hint="eastAsia" w:ascii="Times New Roman" w:hAnsi="Times New Roman"/>
                <w:color w:val="auto"/>
                <w:szCs w:val="21"/>
                <w:highlight w:val="none"/>
                <w:lang w:val="en-US" w:eastAsia="zh-CN"/>
              </w:rPr>
              <w:t>2</w:t>
            </w:r>
          </w:p>
        </w:tc>
        <w:tc>
          <w:tcPr>
            <w:tcW w:w="935" w:type="pct"/>
            <w:tcBorders>
              <w:top w:val="nil"/>
              <w:left w:val="nil"/>
              <w:bottom w:val="single" w:color="auto" w:sz="4" w:space="0"/>
              <w:right w:val="single" w:color="auto" w:sz="4" w:space="0"/>
            </w:tcBorders>
            <w:noWrap w:val="0"/>
            <w:vAlign w:val="center"/>
          </w:tcPr>
          <w:p>
            <w:pPr>
              <w:pStyle w:val="40"/>
              <w:spacing w:before="72" w:after="72"/>
              <w:rPr>
                <w:rFonts w:ascii="Times New Roman" w:hAnsi="Times New Roman"/>
                <w:color w:val="auto"/>
                <w:szCs w:val="21"/>
                <w:highlight w:val="none"/>
              </w:rPr>
            </w:pPr>
            <w:r>
              <w:rPr>
                <w:rFonts w:ascii="Times New Roman" w:hAnsi="Times New Roman"/>
                <w:color w:val="auto"/>
                <w:szCs w:val="21"/>
                <w:highlight w:val="none"/>
              </w:rPr>
              <w:t>蝶阀</w:t>
            </w:r>
          </w:p>
        </w:tc>
        <w:tc>
          <w:tcPr>
            <w:tcW w:w="1362" w:type="pct"/>
            <w:tcBorders>
              <w:top w:val="nil"/>
              <w:left w:val="nil"/>
              <w:bottom w:val="single" w:color="auto" w:sz="4" w:space="0"/>
              <w:right w:val="single" w:color="auto" w:sz="4" w:space="0"/>
            </w:tcBorders>
            <w:noWrap w:val="0"/>
            <w:vAlign w:val="center"/>
          </w:tcPr>
          <w:p>
            <w:pPr>
              <w:pStyle w:val="40"/>
              <w:spacing w:before="72" w:after="72"/>
              <w:rPr>
                <w:rFonts w:ascii="Times New Roman" w:hAnsi="Times New Roman"/>
                <w:color w:val="auto"/>
                <w:szCs w:val="21"/>
                <w:highlight w:val="none"/>
              </w:rPr>
            </w:pPr>
            <w:r>
              <w:rPr>
                <w:rFonts w:ascii="Times New Roman" w:hAnsi="Times New Roman"/>
                <w:color w:val="auto"/>
                <w:szCs w:val="21"/>
                <w:highlight w:val="none"/>
              </w:rPr>
              <w:t>SD341X-6/DN500伸缩法兰式手动蝶阀</w:t>
            </w:r>
          </w:p>
        </w:tc>
        <w:tc>
          <w:tcPr>
            <w:tcW w:w="425" w:type="pct"/>
            <w:tcBorders>
              <w:top w:val="nil"/>
              <w:left w:val="nil"/>
              <w:bottom w:val="single" w:color="auto" w:sz="4" w:space="0"/>
              <w:right w:val="single" w:color="auto" w:sz="4" w:space="0"/>
            </w:tcBorders>
            <w:noWrap w:val="0"/>
            <w:vAlign w:val="center"/>
          </w:tcPr>
          <w:p>
            <w:pPr>
              <w:pStyle w:val="40"/>
              <w:spacing w:before="72" w:after="72"/>
              <w:rPr>
                <w:rFonts w:ascii="Times New Roman" w:hAnsi="Times New Roman"/>
                <w:color w:val="auto"/>
                <w:szCs w:val="21"/>
                <w:highlight w:val="none"/>
              </w:rPr>
            </w:pPr>
            <w:r>
              <w:rPr>
                <w:rFonts w:ascii="Times New Roman" w:hAnsi="Times New Roman"/>
                <w:color w:val="auto"/>
                <w:szCs w:val="21"/>
                <w:highlight w:val="none"/>
              </w:rPr>
              <w:t>1</w:t>
            </w:r>
          </w:p>
        </w:tc>
        <w:tc>
          <w:tcPr>
            <w:tcW w:w="425" w:type="pct"/>
            <w:tcBorders>
              <w:top w:val="nil"/>
              <w:left w:val="nil"/>
              <w:bottom w:val="single" w:color="auto" w:sz="4" w:space="0"/>
              <w:right w:val="single" w:color="auto" w:sz="4" w:space="0"/>
            </w:tcBorders>
            <w:noWrap w:val="0"/>
            <w:vAlign w:val="center"/>
          </w:tcPr>
          <w:p>
            <w:pPr>
              <w:pStyle w:val="40"/>
              <w:spacing w:before="72" w:after="72"/>
              <w:rPr>
                <w:rFonts w:ascii="Times New Roman" w:hAnsi="Times New Roman"/>
                <w:color w:val="auto"/>
                <w:szCs w:val="21"/>
                <w:highlight w:val="none"/>
              </w:rPr>
            </w:pPr>
            <w:r>
              <w:rPr>
                <w:rFonts w:ascii="Times New Roman" w:hAnsi="Times New Roman"/>
                <w:color w:val="auto"/>
                <w:szCs w:val="21"/>
                <w:highlight w:val="none"/>
              </w:rPr>
              <w:t>/</w:t>
            </w:r>
          </w:p>
        </w:tc>
        <w:tc>
          <w:tcPr>
            <w:tcW w:w="428" w:type="pct"/>
            <w:tcBorders>
              <w:top w:val="nil"/>
              <w:left w:val="nil"/>
              <w:bottom w:val="single" w:color="auto" w:sz="4" w:space="0"/>
              <w:right w:val="single" w:color="auto" w:sz="4" w:space="0"/>
            </w:tcBorders>
            <w:noWrap w:val="0"/>
            <w:vAlign w:val="center"/>
          </w:tcPr>
          <w:p>
            <w:pPr>
              <w:pStyle w:val="40"/>
              <w:spacing w:before="72" w:after="72"/>
              <w:rPr>
                <w:rFonts w:ascii="Times New Roman" w:hAnsi="Times New Roman"/>
                <w:color w:val="auto"/>
                <w:szCs w:val="21"/>
                <w:highlight w:val="none"/>
              </w:rPr>
            </w:pPr>
            <w:r>
              <w:rPr>
                <w:rFonts w:ascii="Times New Roman" w:hAnsi="Times New Roman"/>
                <w:color w:val="auto"/>
                <w:szCs w:val="21"/>
                <w:highlight w:val="none"/>
              </w:rPr>
              <w:t>/</w:t>
            </w:r>
          </w:p>
        </w:tc>
        <w:tc>
          <w:tcPr>
            <w:tcW w:w="913" w:type="pct"/>
            <w:tcBorders>
              <w:top w:val="nil"/>
              <w:left w:val="nil"/>
              <w:bottom w:val="single" w:color="auto" w:sz="4" w:space="0"/>
              <w:right w:val="single" w:color="auto" w:sz="4" w:space="0"/>
            </w:tcBorders>
            <w:noWrap w:val="0"/>
            <w:vAlign w:val="center"/>
          </w:tcPr>
          <w:p>
            <w:pPr>
              <w:pStyle w:val="40"/>
              <w:spacing w:before="72" w:after="72"/>
              <w:rPr>
                <w:rFonts w:ascii="Times New Roman" w:hAnsi="Times New Roman"/>
                <w:color w:val="auto"/>
                <w:szCs w:val="21"/>
                <w:highlight w:val="none"/>
              </w:rPr>
            </w:pPr>
          </w:p>
        </w:tc>
      </w:tr>
    </w:tbl>
    <w:p>
      <w:pPr>
        <w:pStyle w:val="2"/>
        <w:rPr>
          <w:rFonts w:hint="default"/>
          <w:color w:val="auto"/>
          <w:highlight w:val="none"/>
          <w:lang w:val="en-US" w:eastAsia="zh-CN"/>
        </w:rPr>
      </w:pPr>
    </w:p>
    <w:p>
      <w:pPr>
        <w:pStyle w:val="4"/>
        <w:bidi w:val="0"/>
        <w:rPr>
          <w:rFonts w:hint="eastAsia"/>
          <w:color w:val="auto"/>
          <w:highlight w:val="none"/>
          <w:lang w:val="en-US" w:eastAsia="zh-CN"/>
        </w:rPr>
      </w:pPr>
      <w:bookmarkStart w:id="44" w:name="_Toc1830736475"/>
      <w:r>
        <w:rPr>
          <w:rFonts w:hint="eastAsia"/>
          <w:color w:val="auto"/>
          <w:highlight w:val="none"/>
          <w:lang w:val="en-US" w:eastAsia="zh-CN"/>
        </w:rPr>
        <w:t>1.7施工组织设计</w:t>
      </w:r>
      <w:bookmarkEnd w:id="44"/>
    </w:p>
    <w:p>
      <w:pPr>
        <w:pStyle w:val="5"/>
        <w:bidi w:val="0"/>
        <w:rPr>
          <w:rFonts w:hint="eastAsia"/>
          <w:color w:val="auto"/>
          <w:highlight w:val="none"/>
        </w:rPr>
      </w:pPr>
      <w:r>
        <w:rPr>
          <w:rFonts w:hint="eastAsia"/>
          <w:color w:val="auto"/>
          <w:highlight w:val="none"/>
          <w:lang w:val="en-US" w:eastAsia="zh-CN"/>
        </w:rPr>
        <w:t>1.7.1</w:t>
      </w:r>
      <w:r>
        <w:rPr>
          <w:rFonts w:hint="eastAsia"/>
          <w:color w:val="auto"/>
          <w:highlight w:val="none"/>
        </w:rPr>
        <w:t>工程位置及对外交通</w:t>
      </w:r>
      <w:bookmarkStart w:id="45" w:name="_Toc304974951"/>
      <w:bookmarkEnd w:id="45"/>
      <w:bookmarkStart w:id="46" w:name="_Toc87841563"/>
      <w:r>
        <w:rPr>
          <w:rFonts w:hint="eastAsia"/>
          <w:color w:val="auto"/>
          <w:highlight w:val="none"/>
        </w:rPr>
        <w:t>条件</w:t>
      </w:r>
      <w:bookmarkEnd w:id="46"/>
    </w:p>
    <w:p>
      <w:pPr>
        <w:rPr>
          <w:rFonts w:hint="default"/>
          <w:color w:val="auto"/>
          <w:highlight w:val="none"/>
          <w:lang w:val="en-US" w:eastAsia="zh-CN"/>
        </w:rPr>
      </w:pPr>
      <w:r>
        <w:rPr>
          <w:color w:val="auto"/>
          <w:highlight w:val="none"/>
        </w:rPr>
        <w:t>洋坑水库位于丰顺县建桥镇环西村，距离建桥镇10km，</w:t>
      </w:r>
      <w:r>
        <w:rPr>
          <w:rFonts w:hint="eastAsia"/>
          <w:color w:val="auto"/>
          <w:highlight w:val="none"/>
        </w:rPr>
        <w:t>坝趾距地方公路已有砼村道相通，对外交通可经建桥镇引入。建桥</w:t>
      </w:r>
      <w:r>
        <w:rPr>
          <w:color w:val="auto"/>
          <w:highlight w:val="none"/>
        </w:rPr>
        <w:t>镇交通方便，地理位置优越，交通便利</w:t>
      </w:r>
      <w:r>
        <w:rPr>
          <w:rFonts w:hint="eastAsia"/>
          <w:color w:val="auto"/>
          <w:highlight w:val="none"/>
        </w:rPr>
        <w:t>，其中</w:t>
      </w:r>
      <w:r>
        <w:rPr>
          <w:color w:val="auto"/>
          <w:highlight w:val="none"/>
        </w:rPr>
        <w:fldChar w:fldCharType="begin"/>
      </w:r>
      <w:r>
        <w:rPr>
          <w:color w:val="auto"/>
          <w:highlight w:val="none"/>
        </w:rPr>
        <w:instrText xml:space="preserve"> HYPERLINK "https://upimg.baike.so.com/doc/3824790-4016515.html" \t "https://upimg.baike.so.com/doc/_blank" </w:instrText>
      </w:r>
      <w:r>
        <w:rPr>
          <w:color w:val="auto"/>
          <w:highlight w:val="none"/>
        </w:rPr>
        <w:fldChar w:fldCharType="separate"/>
      </w:r>
      <w:r>
        <w:rPr>
          <w:color w:val="auto"/>
          <w:highlight w:val="none"/>
        </w:rPr>
        <w:t>梅汕高速</w:t>
      </w:r>
      <w:r>
        <w:rPr>
          <w:color w:val="auto"/>
          <w:highlight w:val="none"/>
        </w:rPr>
        <w:fldChar w:fldCharType="end"/>
      </w:r>
      <w:r>
        <w:rPr>
          <w:color w:val="auto"/>
          <w:highlight w:val="none"/>
        </w:rPr>
        <w:t>公路，</w:t>
      </w:r>
      <w:r>
        <w:rPr>
          <w:color w:val="auto"/>
          <w:highlight w:val="none"/>
        </w:rPr>
        <w:fldChar w:fldCharType="begin"/>
      </w:r>
      <w:r>
        <w:rPr>
          <w:color w:val="auto"/>
          <w:highlight w:val="none"/>
        </w:rPr>
        <w:instrText xml:space="preserve"> HYPERLINK "https://upimg.baike.so.com/doc/6706114-6920107.html" \t "https://upimg.baike.so.com/doc/_blank" </w:instrText>
      </w:r>
      <w:r>
        <w:rPr>
          <w:color w:val="auto"/>
          <w:highlight w:val="none"/>
        </w:rPr>
        <w:fldChar w:fldCharType="separate"/>
      </w:r>
      <w:r>
        <w:rPr>
          <w:color w:val="auto"/>
          <w:highlight w:val="none"/>
        </w:rPr>
        <w:t>广梅汕铁路</w:t>
      </w:r>
      <w:r>
        <w:rPr>
          <w:color w:val="auto"/>
          <w:highlight w:val="none"/>
        </w:rPr>
        <w:fldChar w:fldCharType="end"/>
      </w:r>
      <w:r>
        <w:rPr>
          <w:color w:val="auto"/>
          <w:highlight w:val="none"/>
        </w:rPr>
        <w:t>经过建桥镇区域与梅州市梅县区畲江镇径义交界</w:t>
      </w:r>
      <w:r>
        <w:rPr>
          <w:rFonts w:hint="eastAsia"/>
          <w:color w:val="auto"/>
          <w:highlight w:val="none"/>
        </w:rPr>
        <w:t>，</w:t>
      </w:r>
      <w:r>
        <w:rPr>
          <w:color w:val="auto"/>
          <w:highlight w:val="none"/>
        </w:rPr>
        <w:fldChar w:fldCharType="begin"/>
      </w:r>
      <w:r>
        <w:rPr>
          <w:color w:val="auto"/>
          <w:highlight w:val="none"/>
        </w:rPr>
        <w:instrText xml:space="preserve"> HYPERLINK "https://upimg.baike.so.com/doc/1015392-1073795.html" \t "https://upimg.baike.so.com/doc/_blank" </w:instrText>
      </w:r>
      <w:r>
        <w:rPr>
          <w:color w:val="auto"/>
          <w:highlight w:val="none"/>
        </w:rPr>
        <w:fldChar w:fldCharType="separate"/>
      </w:r>
      <w:r>
        <w:rPr>
          <w:color w:val="auto"/>
          <w:highlight w:val="none"/>
        </w:rPr>
        <w:t>206国道</w:t>
      </w:r>
      <w:r>
        <w:rPr>
          <w:color w:val="auto"/>
          <w:highlight w:val="none"/>
        </w:rPr>
        <w:fldChar w:fldCharType="end"/>
      </w:r>
      <w:r>
        <w:rPr>
          <w:rFonts w:hint="eastAsia"/>
          <w:color w:val="auto"/>
          <w:highlight w:val="none"/>
        </w:rPr>
        <w:t>贯穿全境，对外交通可满足工程施工需要。</w:t>
      </w:r>
    </w:p>
    <w:p>
      <w:pPr>
        <w:pStyle w:val="5"/>
        <w:bidi w:val="0"/>
        <w:rPr>
          <w:rFonts w:hint="eastAsia"/>
          <w:color w:val="auto"/>
          <w:highlight w:val="none"/>
        </w:rPr>
      </w:pPr>
      <w:bookmarkStart w:id="47" w:name="_Toc16358"/>
      <w:bookmarkStart w:id="48" w:name="_Toc13385"/>
      <w:r>
        <w:rPr>
          <w:rFonts w:hint="eastAsia"/>
          <w:color w:val="auto"/>
          <w:highlight w:val="none"/>
          <w:lang w:val="en-US" w:eastAsia="zh-CN"/>
        </w:rPr>
        <w:t>1.</w:t>
      </w:r>
      <w:r>
        <w:rPr>
          <w:color w:val="auto"/>
          <w:highlight w:val="none"/>
        </w:rPr>
        <w:t>7.2</w:t>
      </w:r>
      <w:r>
        <w:rPr>
          <w:rFonts w:hint="eastAsia"/>
          <w:color w:val="auto"/>
          <w:highlight w:val="none"/>
        </w:rPr>
        <w:t xml:space="preserve"> 施工导截流</w:t>
      </w:r>
      <w:bookmarkEnd w:id="47"/>
      <w:bookmarkEnd w:id="48"/>
    </w:p>
    <w:p>
      <w:pPr>
        <w:bidi w:val="0"/>
        <w:rPr>
          <w:rFonts w:hint="eastAsia"/>
          <w:color w:val="auto"/>
          <w:highlight w:val="none"/>
        </w:rPr>
      </w:pPr>
      <w:bookmarkStart w:id="49" w:name="_Toc377373492"/>
      <w:bookmarkEnd w:id="49"/>
      <w:r>
        <w:rPr>
          <w:rFonts w:hint="eastAsia"/>
          <w:color w:val="auto"/>
          <w:highlight w:val="none"/>
        </w:rPr>
        <w:t>本工程施工前对水库采取放空处理，加固工程施工项目均为干地施工，无需导截流工程。</w:t>
      </w:r>
    </w:p>
    <w:p>
      <w:pPr>
        <w:pStyle w:val="5"/>
        <w:bidi w:val="0"/>
        <w:rPr>
          <w:color w:val="auto"/>
          <w:highlight w:val="none"/>
        </w:rPr>
      </w:pPr>
      <w:bookmarkStart w:id="50" w:name="_Toc13427"/>
      <w:bookmarkStart w:id="51" w:name="_Toc15018"/>
      <w:r>
        <w:rPr>
          <w:rFonts w:hint="eastAsia"/>
          <w:color w:val="auto"/>
          <w:highlight w:val="none"/>
          <w:lang w:val="en-US" w:eastAsia="zh-CN"/>
        </w:rPr>
        <w:t>1.7.3</w:t>
      </w:r>
      <w:r>
        <w:rPr>
          <w:rFonts w:hint="eastAsia"/>
          <w:color w:val="auto"/>
          <w:highlight w:val="none"/>
        </w:rPr>
        <w:t>施工总布置</w:t>
      </w:r>
      <w:bookmarkEnd w:id="50"/>
      <w:bookmarkEnd w:id="51"/>
    </w:p>
    <w:p>
      <w:pPr>
        <w:pStyle w:val="6"/>
        <w:bidi w:val="0"/>
        <w:rPr>
          <w:color w:val="auto"/>
          <w:highlight w:val="none"/>
        </w:rPr>
      </w:pPr>
      <w:bookmarkStart w:id="52" w:name="_Toc15035"/>
      <w:bookmarkStart w:id="53" w:name="_Toc5379"/>
      <w:r>
        <w:rPr>
          <w:rFonts w:hint="eastAsia"/>
          <w:color w:val="auto"/>
          <w:highlight w:val="none"/>
          <w:lang w:val="en-US" w:eastAsia="zh-CN"/>
        </w:rPr>
        <w:t>1.7.3.1</w:t>
      </w:r>
      <w:r>
        <w:rPr>
          <w:rFonts w:hint="eastAsia"/>
          <w:color w:val="auto"/>
          <w:highlight w:val="none"/>
        </w:rPr>
        <w:t>施工总布置的规划原则</w:t>
      </w:r>
      <w:bookmarkEnd w:id="52"/>
      <w:bookmarkEnd w:id="53"/>
    </w:p>
    <w:p>
      <w:pPr>
        <w:bidi w:val="0"/>
        <w:rPr>
          <w:color w:val="auto"/>
          <w:highlight w:val="none"/>
        </w:rPr>
      </w:pPr>
      <w:r>
        <w:rPr>
          <w:rFonts w:hint="eastAsia"/>
          <w:color w:val="auto"/>
          <w:highlight w:val="none"/>
        </w:rPr>
        <w:t>施工总平面布置规划本着方便施工、节约用地、方便管理、节约用地的的原则进行施工布置。</w:t>
      </w:r>
    </w:p>
    <w:p>
      <w:pPr>
        <w:bidi w:val="0"/>
        <w:rPr>
          <w:rFonts w:hint="default"/>
          <w:color w:val="auto"/>
          <w:highlight w:val="none"/>
          <w:lang w:val="en-US"/>
        </w:rPr>
      </w:pPr>
      <w:r>
        <w:rPr>
          <w:rFonts w:hint="eastAsia"/>
          <w:color w:val="auto"/>
          <w:highlight w:val="none"/>
        </w:rPr>
        <w:t>本工程为现有水库的除险加固，故只需在施工现场设置小型的钢筋、木材加工厂和施工工棚。临时办公生活区就近安排在施工现场高处平坦的地段，施工、生活用水可就近从水库抽取，其中生活用水须经净水处理方可饮用，施工用电就近接水库附近电网管线，满足工程建设的需要。</w:t>
      </w:r>
    </w:p>
    <w:p>
      <w:pPr>
        <w:pStyle w:val="6"/>
        <w:bidi w:val="0"/>
        <w:rPr>
          <w:color w:val="auto"/>
          <w:highlight w:val="none"/>
        </w:rPr>
      </w:pPr>
      <w:bookmarkStart w:id="54" w:name="_Toc22990"/>
      <w:bookmarkStart w:id="55" w:name="_Toc21229"/>
      <w:r>
        <w:rPr>
          <w:rFonts w:hint="eastAsia"/>
          <w:color w:val="auto"/>
          <w:highlight w:val="none"/>
          <w:lang w:val="en-US" w:eastAsia="zh-CN"/>
        </w:rPr>
        <w:t>1.</w:t>
      </w:r>
      <w:r>
        <w:rPr>
          <w:rFonts w:hint="eastAsia"/>
          <w:color w:val="auto"/>
          <w:highlight w:val="none"/>
        </w:rPr>
        <w:t>7</w:t>
      </w:r>
      <w:r>
        <w:rPr>
          <w:color w:val="auto"/>
          <w:highlight w:val="none"/>
        </w:rPr>
        <w:t>.</w:t>
      </w:r>
      <w:r>
        <w:rPr>
          <w:rFonts w:hint="eastAsia"/>
          <w:color w:val="auto"/>
          <w:highlight w:val="none"/>
          <w:lang w:val="en-US" w:eastAsia="zh-CN"/>
        </w:rPr>
        <w:t>3</w:t>
      </w:r>
      <w:r>
        <w:rPr>
          <w:color w:val="auto"/>
          <w:highlight w:val="none"/>
        </w:rPr>
        <w:t>.2</w:t>
      </w:r>
      <w:r>
        <w:rPr>
          <w:rFonts w:hint="eastAsia"/>
          <w:color w:val="auto"/>
          <w:highlight w:val="none"/>
        </w:rPr>
        <w:t xml:space="preserve"> 施工布置</w:t>
      </w:r>
      <w:bookmarkEnd w:id="54"/>
      <w:bookmarkEnd w:id="55"/>
    </w:p>
    <w:p>
      <w:pPr>
        <w:ind w:firstLine="480"/>
        <w:rPr>
          <w:color w:val="auto"/>
          <w:highlight w:val="none"/>
        </w:rPr>
      </w:pPr>
      <w:r>
        <w:rPr>
          <w:rFonts w:hint="eastAsia" w:ascii="宋体" w:hAnsi="宋体"/>
          <w:color w:val="auto"/>
          <w:highlight w:val="none"/>
        </w:rPr>
        <w:t>根据本工程的施工场地条件及工程特点，在厂区附近布置施工仓库及施工工棚，</w:t>
      </w:r>
      <w:r>
        <w:rPr>
          <w:rFonts w:hint="eastAsia" w:ascii="宋体" w:hAnsi="宋体"/>
          <w:color w:val="auto"/>
          <w:highlight w:val="none"/>
          <w:lang w:val="en-US" w:eastAsia="zh-CN"/>
        </w:rPr>
        <w:t>另</w:t>
      </w:r>
      <w:r>
        <w:rPr>
          <w:rFonts w:hint="eastAsia"/>
          <w:color w:val="auto"/>
          <w:sz w:val="24"/>
          <w:highlight w:val="none"/>
        </w:rPr>
        <w:t>需</w:t>
      </w:r>
      <w:r>
        <w:rPr>
          <w:rFonts w:hint="eastAsia"/>
          <w:color w:val="auto"/>
          <w:sz w:val="24"/>
          <w:highlight w:val="none"/>
          <w:lang w:val="en-US" w:eastAsia="zh-CN"/>
        </w:rPr>
        <w:t>在坝脚处</w:t>
      </w:r>
      <w:r>
        <w:rPr>
          <w:rFonts w:hint="eastAsia"/>
          <w:color w:val="auto"/>
          <w:sz w:val="24"/>
          <w:highlight w:val="none"/>
        </w:rPr>
        <w:t>新建场内道路</w:t>
      </w:r>
      <w:r>
        <w:rPr>
          <w:rFonts w:hint="eastAsia"/>
          <w:color w:val="auto"/>
          <w:sz w:val="24"/>
          <w:highlight w:val="none"/>
          <w:lang w:val="en-US" w:eastAsia="zh-CN"/>
        </w:rPr>
        <w:t>117</w:t>
      </w:r>
      <w:r>
        <w:rPr>
          <w:rFonts w:hint="eastAsia"/>
          <w:color w:val="auto"/>
          <w:sz w:val="24"/>
          <w:highlight w:val="none"/>
        </w:rPr>
        <w:t>m</w:t>
      </w:r>
      <w:r>
        <w:rPr>
          <w:rFonts w:hint="eastAsia"/>
          <w:color w:val="auto"/>
          <w:sz w:val="24"/>
          <w:highlight w:val="none"/>
          <w:lang w:eastAsia="zh-CN"/>
        </w:rPr>
        <w:t>，</w:t>
      </w:r>
      <w:r>
        <w:rPr>
          <w:rFonts w:hint="eastAsia"/>
          <w:color w:val="auto"/>
          <w:sz w:val="24"/>
          <w:highlight w:val="none"/>
        </w:rPr>
        <w:t>为泥结石路面厚200mm，按路面宽4m设计</w:t>
      </w:r>
      <w:r>
        <w:rPr>
          <w:rFonts w:hint="eastAsia"/>
          <w:color w:val="auto"/>
          <w:sz w:val="24"/>
          <w:highlight w:val="none"/>
          <w:lang w:eastAsia="zh-CN"/>
        </w:rPr>
        <w:t>，</w:t>
      </w:r>
      <w:r>
        <w:rPr>
          <w:rFonts w:hint="eastAsia" w:ascii="宋体" w:hAnsi="宋体"/>
          <w:color w:val="auto"/>
          <w:highlight w:val="none"/>
        </w:rPr>
        <w:t>施工临建面积见表</w:t>
      </w:r>
      <w:r>
        <w:rPr>
          <w:rFonts w:hint="eastAsia"/>
          <w:color w:val="auto"/>
          <w:highlight w:val="none"/>
          <w:lang w:val="en-US" w:eastAsia="zh-CN"/>
        </w:rPr>
        <w:t>1.7</w:t>
      </w:r>
      <w:r>
        <w:rPr>
          <w:rFonts w:hint="eastAsia"/>
          <w:color w:val="auto"/>
          <w:highlight w:val="none"/>
        </w:rPr>
        <w:t>-1</w:t>
      </w:r>
      <w:r>
        <w:rPr>
          <w:rFonts w:hint="eastAsia" w:ascii="宋体" w:hAnsi="宋体"/>
          <w:color w:val="auto"/>
          <w:highlight w:val="none"/>
        </w:rPr>
        <w:t>。</w:t>
      </w:r>
    </w:p>
    <w:p>
      <w:pPr>
        <w:pStyle w:val="2"/>
        <w:ind w:left="0" w:leftChars="0" w:firstLine="0" w:firstLineChars="0"/>
        <w:jc w:val="center"/>
        <w:rPr>
          <w:rFonts w:hint="eastAsia" w:eastAsia="黑体"/>
          <w:color w:val="auto"/>
          <w:highlight w:val="none"/>
        </w:rPr>
      </w:pPr>
      <w:r>
        <w:rPr>
          <w:rFonts w:hint="eastAsia"/>
          <w:color w:val="auto"/>
          <w:highlight w:val="none"/>
        </w:rPr>
        <w:t>表</w:t>
      </w:r>
      <w:r>
        <w:rPr>
          <w:rFonts w:hint="eastAsia" w:ascii="Times New Roman" w:hAnsi="Times New Roman" w:eastAsia="宋体" w:cs="Times New Roman"/>
          <w:color w:val="auto"/>
          <w:kern w:val="2"/>
          <w:sz w:val="24"/>
          <w:szCs w:val="24"/>
          <w:highlight w:val="none"/>
          <w:lang w:val="en-US" w:eastAsia="zh-CN" w:bidi="ar-SA"/>
        </w:rPr>
        <w:t>1.7-1  施</w:t>
      </w:r>
      <w:r>
        <w:rPr>
          <w:rFonts w:hint="eastAsia"/>
          <w:color w:val="auto"/>
          <w:highlight w:val="none"/>
        </w:rPr>
        <w:t>工临建工程面积表</w:t>
      </w:r>
    </w:p>
    <w:tbl>
      <w:tblPr>
        <w:tblStyle w:val="23"/>
        <w:tblW w:w="5000" w:type="pct"/>
        <w:tblInd w:w="0" w:type="dxa"/>
        <w:tblBorders>
          <w:top w:val="single" w:color="000000" w:sz="4" w:space="0"/>
          <w:left w:val="single" w:color="000000" w:sz="4" w:space="0"/>
          <w:bottom w:val="single" w:color="auto" w:sz="4" w:space="0"/>
          <w:right w:val="single" w:color="000000" w:sz="4" w:space="0"/>
          <w:insideH w:val="single" w:color="000000" w:sz="4" w:space="0"/>
          <w:insideV w:val="single" w:color="000000" w:sz="4" w:space="0"/>
        </w:tblBorders>
        <w:tblLayout w:type="autofit"/>
        <w:tblCellMar>
          <w:top w:w="0" w:type="dxa"/>
          <w:left w:w="28" w:type="dxa"/>
          <w:bottom w:w="0" w:type="dxa"/>
          <w:right w:w="28" w:type="dxa"/>
        </w:tblCellMar>
      </w:tblPr>
      <w:tblGrid>
        <w:gridCol w:w="2367"/>
        <w:gridCol w:w="1256"/>
        <w:gridCol w:w="2369"/>
        <w:gridCol w:w="2370"/>
      </w:tblGrid>
      <w:tr>
        <w:tblPrEx>
          <w:tblBorders>
            <w:top w:val="single" w:color="000000" w:sz="4" w:space="0"/>
            <w:left w:val="single" w:color="000000" w:sz="4" w:space="0"/>
            <w:bottom w:val="single" w:color="auto" w:sz="4" w:space="0"/>
            <w:right w:val="single" w:color="000000" w:sz="4" w:space="0"/>
            <w:insideH w:val="single" w:color="000000" w:sz="4" w:space="0"/>
            <w:insideV w:val="single" w:color="000000" w:sz="4" w:space="0"/>
          </w:tblBorders>
          <w:tblCellMar>
            <w:top w:w="0" w:type="dxa"/>
            <w:left w:w="28" w:type="dxa"/>
            <w:bottom w:w="0" w:type="dxa"/>
            <w:right w:w="28" w:type="dxa"/>
          </w:tblCellMar>
        </w:tblPrEx>
        <w:tc>
          <w:tcPr>
            <w:tcW w:w="1415" w:type="pct"/>
            <w:noWrap w:val="0"/>
            <w:vAlign w:val="center"/>
          </w:tcPr>
          <w:p>
            <w:pPr>
              <w:pStyle w:val="74"/>
              <w:adjustRightInd w:val="0"/>
              <w:snapToGrid w:val="0"/>
              <w:ind w:firstLine="0" w:firstLineChars="0"/>
              <w:rPr>
                <w:color w:val="auto"/>
                <w:highlight w:val="none"/>
              </w:rPr>
            </w:pPr>
            <w:r>
              <w:rPr>
                <w:rFonts w:hint="eastAsia" w:ascii="宋体" w:hAnsi="宋体"/>
                <w:color w:val="auto"/>
                <w:highlight w:val="none"/>
              </w:rPr>
              <w:t>项目</w:t>
            </w:r>
          </w:p>
        </w:tc>
        <w:tc>
          <w:tcPr>
            <w:tcW w:w="751" w:type="pct"/>
            <w:noWrap w:val="0"/>
            <w:vAlign w:val="center"/>
          </w:tcPr>
          <w:p>
            <w:pPr>
              <w:pStyle w:val="74"/>
              <w:adjustRightInd w:val="0"/>
              <w:snapToGrid w:val="0"/>
              <w:ind w:firstLine="0" w:firstLineChars="0"/>
              <w:rPr>
                <w:rFonts w:hint="eastAsia"/>
                <w:color w:val="auto"/>
                <w:highlight w:val="none"/>
              </w:rPr>
            </w:pPr>
            <w:r>
              <w:rPr>
                <w:rFonts w:hint="eastAsia" w:ascii="宋体" w:hAnsi="宋体"/>
                <w:color w:val="auto"/>
                <w:highlight w:val="none"/>
              </w:rPr>
              <w:t>单位</w:t>
            </w:r>
          </w:p>
        </w:tc>
        <w:tc>
          <w:tcPr>
            <w:tcW w:w="1416" w:type="pct"/>
            <w:noWrap w:val="0"/>
            <w:vAlign w:val="center"/>
          </w:tcPr>
          <w:p>
            <w:pPr>
              <w:pStyle w:val="74"/>
              <w:adjustRightInd w:val="0"/>
              <w:snapToGrid w:val="0"/>
              <w:ind w:firstLine="0" w:firstLineChars="0"/>
              <w:rPr>
                <w:rFonts w:hint="eastAsia"/>
                <w:color w:val="auto"/>
                <w:highlight w:val="none"/>
              </w:rPr>
            </w:pPr>
            <w:r>
              <w:rPr>
                <w:rFonts w:hint="eastAsia" w:ascii="宋体" w:hAnsi="宋体"/>
                <w:color w:val="auto"/>
                <w:highlight w:val="none"/>
              </w:rPr>
              <w:t>建筑面积</w:t>
            </w:r>
          </w:p>
        </w:tc>
        <w:tc>
          <w:tcPr>
            <w:tcW w:w="1417" w:type="pct"/>
            <w:noWrap w:val="0"/>
            <w:vAlign w:val="center"/>
          </w:tcPr>
          <w:p>
            <w:pPr>
              <w:pStyle w:val="74"/>
              <w:adjustRightInd w:val="0"/>
              <w:snapToGrid w:val="0"/>
              <w:ind w:firstLine="0" w:firstLineChars="0"/>
              <w:rPr>
                <w:rFonts w:hint="eastAsia"/>
                <w:color w:val="auto"/>
                <w:highlight w:val="none"/>
              </w:rPr>
            </w:pPr>
            <w:r>
              <w:rPr>
                <w:rFonts w:hint="eastAsia" w:ascii="宋体" w:hAnsi="宋体"/>
                <w:color w:val="auto"/>
                <w:highlight w:val="none"/>
              </w:rPr>
              <w:t>占地面积</w:t>
            </w:r>
          </w:p>
        </w:tc>
      </w:tr>
      <w:tr>
        <w:tblPrEx>
          <w:tblBorders>
            <w:top w:val="single" w:color="000000" w:sz="4" w:space="0"/>
            <w:left w:val="single" w:color="000000" w:sz="4" w:space="0"/>
            <w:bottom w:val="single" w:color="auto" w:sz="4" w:space="0"/>
            <w:right w:val="single" w:color="000000" w:sz="4" w:space="0"/>
            <w:insideH w:val="single" w:color="000000" w:sz="4" w:space="0"/>
            <w:insideV w:val="single" w:color="000000" w:sz="4" w:space="0"/>
          </w:tblBorders>
          <w:tblCellMar>
            <w:top w:w="0" w:type="dxa"/>
            <w:left w:w="28" w:type="dxa"/>
            <w:bottom w:w="0" w:type="dxa"/>
            <w:right w:w="28" w:type="dxa"/>
          </w:tblCellMar>
        </w:tblPrEx>
        <w:tc>
          <w:tcPr>
            <w:tcW w:w="1415" w:type="pct"/>
            <w:noWrap w:val="0"/>
            <w:vAlign w:val="center"/>
          </w:tcPr>
          <w:p>
            <w:pPr>
              <w:pStyle w:val="74"/>
              <w:adjustRightInd w:val="0"/>
              <w:snapToGrid w:val="0"/>
              <w:ind w:firstLine="0" w:firstLineChars="0"/>
              <w:rPr>
                <w:rFonts w:hint="eastAsia"/>
                <w:color w:val="auto"/>
                <w:highlight w:val="none"/>
              </w:rPr>
            </w:pPr>
            <w:r>
              <w:rPr>
                <w:rFonts w:hint="eastAsia" w:ascii="宋体" w:hAnsi="宋体"/>
                <w:color w:val="auto"/>
                <w:highlight w:val="none"/>
              </w:rPr>
              <w:t>施工工棚</w:t>
            </w:r>
          </w:p>
        </w:tc>
        <w:tc>
          <w:tcPr>
            <w:tcW w:w="751" w:type="pct"/>
            <w:noWrap w:val="0"/>
            <w:vAlign w:val="center"/>
          </w:tcPr>
          <w:p>
            <w:pPr>
              <w:pStyle w:val="74"/>
              <w:adjustRightInd w:val="0"/>
              <w:snapToGrid w:val="0"/>
              <w:ind w:firstLine="0" w:firstLineChars="0"/>
              <w:rPr>
                <w:rFonts w:hint="eastAsia"/>
                <w:color w:val="auto"/>
                <w:highlight w:val="none"/>
              </w:rPr>
            </w:pPr>
            <w:r>
              <w:rPr>
                <w:rFonts w:hint="eastAsia"/>
                <w:color w:val="auto"/>
                <w:highlight w:val="none"/>
              </w:rPr>
              <w:t>m</w:t>
            </w:r>
            <w:r>
              <w:rPr>
                <w:rFonts w:hint="eastAsia"/>
                <w:color w:val="auto"/>
                <w:highlight w:val="none"/>
                <w:vertAlign w:val="superscript"/>
              </w:rPr>
              <w:t>2</w:t>
            </w:r>
          </w:p>
        </w:tc>
        <w:tc>
          <w:tcPr>
            <w:tcW w:w="1416" w:type="pct"/>
            <w:noWrap w:val="0"/>
            <w:vAlign w:val="center"/>
          </w:tcPr>
          <w:p>
            <w:pPr>
              <w:pStyle w:val="74"/>
              <w:adjustRightInd w:val="0"/>
              <w:snapToGrid w:val="0"/>
              <w:ind w:firstLine="0" w:firstLineChars="0"/>
              <w:rPr>
                <w:color w:val="auto"/>
                <w:highlight w:val="none"/>
              </w:rPr>
            </w:pPr>
            <w:r>
              <w:rPr>
                <w:color w:val="auto"/>
                <w:highlight w:val="none"/>
              </w:rPr>
              <w:t>200</w:t>
            </w:r>
          </w:p>
        </w:tc>
        <w:tc>
          <w:tcPr>
            <w:tcW w:w="1417" w:type="pct"/>
            <w:noWrap w:val="0"/>
            <w:vAlign w:val="center"/>
          </w:tcPr>
          <w:p>
            <w:pPr>
              <w:pStyle w:val="74"/>
              <w:adjustRightInd w:val="0"/>
              <w:snapToGrid w:val="0"/>
              <w:ind w:firstLine="0" w:firstLineChars="0"/>
              <w:rPr>
                <w:color w:val="auto"/>
                <w:highlight w:val="none"/>
              </w:rPr>
            </w:pPr>
            <w:r>
              <w:rPr>
                <w:color w:val="auto"/>
                <w:highlight w:val="none"/>
              </w:rPr>
              <w:t>400</w:t>
            </w:r>
          </w:p>
        </w:tc>
      </w:tr>
      <w:tr>
        <w:tblPrEx>
          <w:tblBorders>
            <w:top w:val="single" w:color="000000" w:sz="4" w:space="0"/>
            <w:left w:val="single" w:color="000000" w:sz="4" w:space="0"/>
            <w:bottom w:val="single" w:color="auto" w:sz="4" w:space="0"/>
            <w:right w:val="single" w:color="000000" w:sz="4" w:space="0"/>
            <w:insideH w:val="single" w:color="000000" w:sz="4" w:space="0"/>
            <w:insideV w:val="single" w:color="000000" w:sz="4" w:space="0"/>
          </w:tblBorders>
          <w:tblCellMar>
            <w:top w:w="0" w:type="dxa"/>
            <w:left w:w="28" w:type="dxa"/>
            <w:bottom w:w="0" w:type="dxa"/>
            <w:right w:w="28" w:type="dxa"/>
          </w:tblCellMar>
        </w:tblPrEx>
        <w:tc>
          <w:tcPr>
            <w:tcW w:w="1415" w:type="pct"/>
            <w:noWrap w:val="0"/>
            <w:vAlign w:val="center"/>
          </w:tcPr>
          <w:p>
            <w:pPr>
              <w:pStyle w:val="74"/>
              <w:adjustRightInd w:val="0"/>
              <w:snapToGrid w:val="0"/>
              <w:ind w:firstLine="0" w:firstLineChars="0"/>
              <w:rPr>
                <w:rFonts w:hint="eastAsia"/>
                <w:color w:val="auto"/>
                <w:highlight w:val="none"/>
              </w:rPr>
            </w:pPr>
            <w:r>
              <w:rPr>
                <w:rFonts w:hint="eastAsia" w:ascii="宋体" w:hAnsi="宋体"/>
                <w:color w:val="auto"/>
                <w:highlight w:val="none"/>
              </w:rPr>
              <w:t>施工仓库</w:t>
            </w:r>
          </w:p>
        </w:tc>
        <w:tc>
          <w:tcPr>
            <w:tcW w:w="751" w:type="pct"/>
            <w:noWrap w:val="0"/>
            <w:vAlign w:val="center"/>
          </w:tcPr>
          <w:p>
            <w:pPr>
              <w:pStyle w:val="74"/>
              <w:adjustRightInd w:val="0"/>
              <w:snapToGrid w:val="0"/>
              <w:ind w:firstLine="0" w:firstLineChars="0"/>
              <w:rPr>
                <w:rFonts w:hint="eastAsia"/>
                <w:color w:val="auto"/>
                <w:highlight w:val="none"/>
              </w:rPr>
            </w:pPr>
            <w:r>
              <w:rPr>
                <w:rFonts w:hint="eastAsia"/>
                <w:color w:val="auto"/>
                <w:highlight w:val="none"/>
              </w:rPr>
              <w:t>m</w:t>
            </w:r>
            <w:r>
              <w:rPr>
                <w:rFonts w:hint="eastAsia"/>
                <w:color w:val="auto"/>
                <w:highlight w:val="none"/>
                <w:vertAlign w:val="superscript"/>
              </w:rPr>
              <w:t>2</w:t>
            </w:r>
          </w:p>
        </w:tc>
        <w:tc>
          <w:tcPr>
            <w:tcW w:w="1416" w:type="pct"/>
            <w:noWrap w:val="0"/>
            <w:vAlign w:val="center"/>
          </w:tcPr>
          <w:p>
            <w:pPr>
              <w:pStyle w:val="74"/>
              <w:adjustRightInd w:val="0"/>
              <w:snapToGrid w:val="0"/>
              <w:ind w:firstLine="0" w:firstLineChars="0"/>
              <w:rPr>
                <w:color w:val="auto"/>
                <w:highlight w:val="none"/>
              </w:rPr>
            </w:pPr>
            <w:r>
              <w:rPr>
                <w:color w:val="auto"/>
                <w:highlight w:val="none"/>
              </w:rPr>
              <w:t>100</w:t>
            </w:r>
          </w:p>
        </w:tc>
        <w:tc>
          <w:tcPr>
            <w:tcW w:w="1417" w:type="pct"/>
            <w:noWrap w:val="0"/>
            <w:vAlign w:val="center"/>
          </w:tcPr>
          <w:p>
            <w:pPr>
              <w:pStyle w:val="74"/>
              <w:adjustRightInd w:val="0"/>
              <w:snapToGrid w:val="0"/>
              <w:ind w:firstLine="0" w:firstLineChars="0"/>
              <w:rPr>
                <w:color w:val="auto"/>
                <w:highlight w:val="none"/>
              </w:rPr>
            </w:pPr>
            <w:r>
              <w:rPr>
                <w:color w:val="auto"/>
                <w:highlight w:val="none"/>
              </w:rPr>
              <w:t>200</w:t>
            </w:r>
          </w:p>
        </w:tc>
      </w:tr>
      <w:tr>
        <w:tblPrEx>
          <w:tblBorders>
            <w:top w:val="single" w:color="000000" w:sz="4" w:space="0"/>
            <w:left w:val="single" w:color="000000" w:sz="4" w:space="0"/>
            <w:bottom w:val="single" w:color="auto" w:sz="4" w:space="0"/>
            <w:right w:val="single" w:color="000000" w:sz="4" w:space="0"/>
            <w:insideH w:val="single" w:color="000000" w:sz="4" w:space="0"/>
            <w:insideV w:val="single" w:color="000000" w:sz="4" w:space="0"/>
          </w:tblBorders>
        </w:tblPrEx>
        <w:tc>
          <w:tcPr>
            <w:tcW w:w="1415" w:type="pct"/>
            <w:noWrap w:val="0"/>
            <w:vAlign w:val="bottom"/>
          </w:tcPr>
          <w:p>
            <w:pPr>
              <w:pStyle w:val="74"/>
              <w:adjustRightInd w:val="0"/>
              <w:snapToGrid w:val="0"/>
              <w:ind w:firstLine="0" w:firstLineChars="0"/>
              <w:jc w:val="center"/>
              <w:rPr>
                <w:rFonts w:hint="eastAsia" w:ascii="宋体" w:hAnsi="宋体" w:eastAsia="宋体" w:cs="Times New Roman"/>
                <w:color w:val="auto"/>
                <w:kern w:val="2"/>
                <w:sz w:val="21"/>
                <w:szCs w:val="21"/>
                <w:highlight w:val="none"/>
                <w:lang w:val="en-US" w:eastAsia="zh-CN" w:bidi="ar-SA"/>
              </w:rPr>
            </w:pPr>
            <w:r>
              <w:rPr>
                <w:rFonts w:hint="eastAsia" w:ascii="宋体" w:hAnsi="宋体"/>
                <w:color w:val="auto"/>
                <w:highlight w:val="none"/>
                <w:lang w:val="en-US" w:eastAsia="zh-CN"/>
              </w:rPr>
              <w:t>施工临时道路</w:t>
            </w:r>
          </w:p>
        </w:tc>
        <w:tc>
          <w:tcPr>
            <w:tcW w:w="751" w:type="pct"/>
            <w:noWrap w:val="0"/>
            <w:vAlign w:val="bottom"/>
          </w:tcPr>
          <w:p>
            <w:pPr>
              <w:pStyle w:val="74"/>
              <w:adjustRightInd w:val="0"/>
              <w:snapToGrid w:val="0"/>
              <w:ind w:firstLine="0" w:firstLineChars="0"/>
              <w:jc w:val="center"/>
              <w:rPr>
                <w:rFonts w:hint="eastAsia" w:ascii="Times New Roman" w:hAnsi="Times New Roman" w:eastAsia="宋体" w:cs="Times New Roman"/>
                <w:color w:val="auto"/>
                <w:kern w:val="2"/>
                <w:sz w:val="21"/>
                <w:szCs w:val="21"/>
                <w:highlight w:val="none"/>
                <w:lang w:val="en-US" w:eastAsia="zh-CN" w:bidi="ar-SA"/>
              </w:rPr>
            </w:pPr>
            <w:r>
              <w:rPr>
                <w:rFonts w:hint="eastAsia"/>
                <w:color w:val="auto"/>
                <w:highlight w:val="none"/>
              </w:rPr>
              <w:t>m</w:t>
            </w:r>
            <w:r>
              <w:rPr>
                <w:rFonts w:hint="eastAsia"/>
                <w:color w:val="auto"/>
                <w:highlight w:val="none"/>
                <w:vertAlign w:val="superscript"/>
              </w:rPr>
              <w:t>2</w:t>
            </w:r>
          </w:p>
        </w:tc>
        <w:tc>
          <w:tcPr>
            <w:tcW w:w="1416" w:type="pct"/>
            <w:noWrap w:val="0"/>
            <w:vAlign w:val="bottom"/>
          </w:tcPr>
          <w:p>
            <w:pPr>
              <w:pStyle w:val="74"/>
              <w:adjustRightInd w:val="0"/>
              <w:snapToGrid w:val="0"/>
              <w:ind w:firstLine="0" w:firstLineChars="0"/>
              <w:jc w:val="center"/>
              <w:rPr>
                <w:rFonts w:hint="default" w:ascii="Times New Roman" w:hAnsi="Times New Roman" w:eastAsia="宋体" w:cs="Times New Roman"/>
                <w:color w:val="auto"/>
                <w:kern w:val="2"/>
                <w:sz w:val="21"/>
                <w:szCs w:val="21"/>
                <w:highlight w:val="none"/>
                <w:lang w:val="en-US" w:eastAsia="zh-CN" w:bidi="ar-SA"/>
              </w:rPr>
            </w:pPr>
            <w:r>
              <w:rPr>
                <w:rFonts w:hint="eastAsia"/>
                <w:color w:val="auto"/>
                <w:highlight w:val="none"/>
                <w:lang w:val="en-US" w:eastAsia="zh-CN"/>
              </w:rPr>
              <w:t>468</w:t>
            </w:r>
          </w:p>
        </w:tc>
        <w:tc>
          <w:tcPr>
            <w:tcW w:w="1417" w:type="pct"/>
            <w:noWrap w:val="0"/>
            <w:vAlign w:val="bottom"/>
          </w:tcPr>
          <w:p>
            <w:pPr>
              <w:pStyle w:val="74"/>
              <w:adjustRightInd w:val="0"/>
              <w:snapToGrid w:val="0"/>
              <w:ind w:firstLine="0" w:firstLineChars="0"/>
              <w:jc w:val="center"/>
              <w:rPr>
                <w:rFonts w:hint="default" w:ascii="Times New Roman" w:hAnsi="Times New Roman" w:eastAsia="宋体" w:cs="Times New Roman"/>
                <w:color w:val="auto"/>
                <w:kern w:val="2"/>
                <w:sz w:val="21"/>
                <w:szCs w:val="21"/>
                <w:highlight w:val="none"/>
                <w:lang w:val="en-US" w:eastAsia="zh-CN" w:bidi="ar-SA"/>
              </w:rPr>
            </w:pPr>
            <w:r>
              <w:rPr>
                <w:rFonts w:hint="eastAsia"/>
                <w:color w:val="auto"/>
                <w:highlight w:val="none"/>
                <w:lang w:val="en-US" w:eastAsia="zh-CN"/>
              </w:rPr>
              <w:t>468</w:t>
            </w:r>
          </w:p>
        </w:tc>
      </w:tr>
    </w:tbl>
    <w:p>
      <w:pPr>
        <w:pStyle w:val="6"/>
        <w:bidi w:val="0"/>
        <w:rPr>
          <w:rFonts w:hint="eastAsia"/>
          <w:color w:val="auto"/>
          <w:highlight w:val="none"/>
        </w:rPr>
      </w:pPr>
      <w:bookmarkStart w:id="56" w:name="_Toc5853"/>
      <w:bookmarkStart w:id="57" w:name="_Toc554"/>
      <w:r>
        <w:rPr>
          <w:rFonts w:hint="eastAsia"/>
          <w:color w:val="auto"/>
          <w:highlight w:val="none"/>
          <w:lang w:val="en-US" w:eastAsia="zh-CN"/>
        </w:rPr>
        <w:t>1.</w:t>
      </w:r>
      <w:r>
        <w:rPr>
          <w:rFonts w:hint="eastAsia"/>
          <w:color w:val="auto"/>
          <w:highlight w:val="none"/>
        </w:rPr>
        <w:t>7</w:t>
      </w:r>
      <w:r>
        <w:rPr>
          <w:color w:val="auto"/>
          <w:highlight w:val="none"/>
        </w:rPr>
        <w:t>.</w:t>
      </w:r>
      <w:r>
        <w:rPr>
          <w:rFonts w:hint="eastAsia"/>
          <w:color w:val="auto"/>
          <w:highlight w:val="none"/>
          <w:lang w:val="en-US" w:eastAsia="zh-CN"/>
        </w:rPr>
        <w:t>3</w:t>
      </w:r>
      <w:r>
        <w:rPr>
          <w:color w:val="auto"/>
          <w:highlight w:val="none"/>
        </w:rPr>
        <w:t>.3</w:t>
      </w:r>
      <w:r>
        <w:rPr>
          <w:rFonts w:hint="eastAsia"/>
          <w:color w:val="auto"/>
          <w:highlight w:val="none"/>
        </w:rPr>
        <w:t xml:space="preserve"> 土石方平衡及弃渣规划</w:t>
      </w:r>
      <w:bookmarkEnd w:id="56"/>
      <w:bookmarkEnd w:id="57"/>
    </w:p>
    <w:p>
      <w:pPr>
        <w:ind w:firstLine="480"/>
        <w:rPr>
          <w:color w:val="auto"/>
          <w:highlight w:val="none"/>
        </w:rPr>
      </w:pPr>
      <w:r>
        <w:rPr>
          <w:rFonts w:hint="default" w:ascii="Times New Roman" w:hAnsi="Times New Roman" w:eastAsia="宋体" w:cs="Times New Roman"/>
          <w:color w:val="auto"/>
          <w:highlight w:val="none"/>
        </w:rPr>
        <w:t>经综合统计，本工程土方开挖量</w:t>
      </w:r>
      <w:r>
        <w:rPr>
          <w:rFonts w:hint="eastAsia" w:cs="Times New Roman"/>
          <w:color w:val="auto"/>
          <w:highlight w:val="none"/>
          <w:lang w:val="en-US" w:eastAsia="zh-CN"/>
        </w:rPr>
        <w:t>1.68</w:t>
      </w:r>
      <w:r>
        <w:rPr>
          <w:rFonts w:hint="default" w:ascii="Times New Roman" w:hAnsi="Times New Roman" w:eastAsia="宋体" w:cs="Times New Roman"/>
          <w:color w:val="auto"/>
          <w:highlight w:val="none"/>
        </w:rPr>
        <w:t>万m</w:t>
      </w:r>
      <w:r>
        <w:rPr>
          <w:rFonts w:hint="default" w:ascii="Times New Roman" w:hAnsi="Times New Roman" w:eastAsia="宋体" w:cs="Times New Roman"/>
          <w:color w:val="auto"/>
          <w:highlight w:val="none"/>
          <w:vertAlign w:val="superscript"/>
          <w:lang w:val="en-US" w:eastAsia="zh-CN"/>
        </w:rPr>
        <w:t>3</w:t>
      </w:r>
      <w:r>
        <w:rPr>
          <w:rFonts w:hint="default" w:ascii="Times New Roman" w:hAnsi="Times New Roman" w:eastAsia="宋体" w:cs="Times New Roman"/>
          <w:color w:val="auto"/>
          <w:highlight w:val="none"/>
        </w:rPr>
        <w:t>，</w:t>
      </w:r>
      <w:r>
        <w:rPr>
          <w:rFonts w:hint="default" w:ascii="Times New Roman" w:hAnsi="Times New Roman" w:eastAsia="宋体" w:cs="Times New Roman"/>
          <w:color w:val="auto"/>
          <w:highlight w:val="none"/>
          <w:lang w:val="en-US" w:eastAsia="zh-CN"/>
        </w:rPr>
        <w:t>清基土方量0.38万</w:t>
      </w:r>
      <w:r>
        <w:rPr>
          <w:rFonts w:hint="default" w:ascii="Times New Roman" w:hAnsi="Times New Roman" w:eastAsia="宋体" w:cs="Times New Roman"/>
          <w:color w:val="auto"/>
          <w:highlight w:val="none"/>
        </w:rPr>
        <w:t>m</w:t>
      </w:r>
      <w:r>
        <w:rPr>
          <w:rFonts w:hint="default" w:ascii="Times New Roman" w:hAnsi="Times New Roman" w:eastAsia="宋体" w:cs="Times New Roman"/>
          <w:color w:val="auto"/>
          <w:highlight w:val="none"/>
          <w:vertAlign w:val="superscript"/>
          <w:lang w:val="en-US" w:eastAsia="zh-CN"/>
        </w:rPr>
        <w:t>3</w:t>
      </w:r>
      <w:r>
        <w:rPr>
          <w:rFonts w:hint="default" w:ascii="Times New Roman" w:hAnsi="Times New Roman" w:eastAsia="宋体" w:cs="Times New Roman"/>
          <w:color w:val="auto"/>
          <w:highlight w:val="none"/>
        </w:rPr>
        <w:t xml:space="preserve">，回填利用土方量 </w:t>
      </w:r>
      <w:r>
        <w:rPr>
          <w:rFonts w:hint="default" w:ascii="Times New Roman" w:hAnsi="Times New Roman" w:eastAsia="宋体" w:cs="Times New Roman"/>
          <w:color w:val="auto"/>
          <w:highlight w:val="none"/>
          <w:lang w:val="en-US" w:eastAsia="zh-CN"/>
        </w:rPr>
        <w:t>0.7</w:t>
      </w:r>
      <w:r>
        <w:rPr>
          <w:rFonts w:hint="eastAsia" w:cs="Times New Roman"/>
          <w:color w:val="auto"/>
          <w:highlight w:val="none"/>
          <w:lang w:val="en-US" w:eastAsia="zh-CN"/>
        </w:rPr>
        <w:t>5</w:t>
      </w:r>
      <w:r>
        <w:rPr>
          <w:rFonts w:hint="default" w:ascii="Times New Roman" w:hAnsi="Times New Roman" w:eastAsia="宋体" w:cs="Times New Roman"/>
          <w:color w:val="auto"/>
          <w:highlight w:val="none"/>
        </w:rPr>
        <w:t>万m</w:t>
      </w:r>
      <w:r>
        <w:rPr>
          <w:rFonts w:hint="default" w:ascii="Times New Roman" w:hAnsi="Times New Roman" w:eastAsia="宋体" w:cs="Times New Roman"/>
          <w:color w:val="auto"/>
          <w:highlight w:val="none"/>
          <w:vertAlign w:val="superscript"/>
          <w:lang w:val="en-US" w:eastAsia="zh-CN"/>
        </w:rPr>
        <w:t>3</w:t>
      </w:r>
      <w:r>
        <w:rPr>
          <w:rFonts w:hint="default" w:ascii="Times New Roman" w:hAnsi="Times New Roman" w:eastAsia="宋体" w:cs="Times New Roman"/>
          <w:color w:val="auto"/>
          <w:highlight w:val="none"/>
        </w:rPr>
        <w:t>，旧砌石、砼拆除量</w:t>
      </w:r>
      <w:r>
        <w:rPr>
          <w:rFonts w:hint="default" w:ascii="Times New Roman" w:hAnsi="Times New Roman" w:eastAsia="宋体" w:cs="Times New Roman"/>
          <w:color w:val="auto"/>
          <w:highlight w:val="none"/>
          <w:lang w:val="en-US" w:eastAsia="zh-CN"/>
        </w:rPr>
        <w:t>0.</w:t>
      </w:r>
      <w:r>
        <w:rPr>
          <w:rFonts w:hint="eastAsia" w:cs="Times New Roman"/>
          <w:color w:val="auto"/>
          <w:highlight w:val="none"/>
          <w:lang w:val="en-US" w:eastAsia="zh-CN"/>
        </w:rPr>
        <w:t>24</w:t>
      </w:r>
      <w:r>
        <w:rPr>
          <w:rFonts w:hint="default" w:ascii="Times New Roman" w:hAnsi="Times New Roman" w:eastAsia="宋体" w:cs="Times New Roman"/>
          <w:color w:val="auto"/>
          <w:highlight w:val="none"/>
        </w:rPr>
        <w:t>万m³，弃渣总量</w:t>
      </w:r>
      <w:r>
        <w:rPr>
          <w:rFonts w:hint="eastAsia" w:cs="Times New Roman"/>
          <w:color w:val="auto"/>
          <w:highlight w:val="none"/>
          <w:lang w:val="en-US" w:eastAsia="zh-CN"/>
        </w:rPr>
        <w:t>1.55</w:t>
      </w:r>
      <w:r>
        <w:rPr>
          <w:rFonts w:hint="default" w:ascii="Times New Roman" w:hAnsi="Times New Roman" w:eastAsia="宋体" w:cs="Times New Roman"/>
          <w:color w:val="auto"/>
          <w:highlight w:val="none"/>
        </w:rPr>
        <w:t>万m³。工程弃渣就近运至城镇建设洼地或园林建设用土回填，运距约为10km。</w:t>
      </w:r>
    </w:p>
    <w:p>
      <w:pPr>
        <w:pStyle w:val="5"/>
        <w:bidi w:val="0"/>
        <w:rPr>
          <w:color w:val="auto"/>
          <w:highlight w:val="none"/>
        </w:rPr>
      </w:pPr>
      <w:bookmarkStart w:id="58" w:name="_Toc320717806"/>
      <w:bookmarkEnd w:id="58"/>
      <w:bookmarkStart w:id="59" w:name="_Toc17245"/>
      <w:bookmarkEnd w:id="59"/>
      <w:bookmarkStart w:id="60" w:name="_Toc21417"/>
      <w:bookmarkEnd w:id="60"/>
      <w:bookmarkStart w:id="61" w:name="_Toc6897"/>
      <w:bookmarkEnd w:id="61"/>
      <w:bookmarkStart w:id="62" w:name="_Toc26764"/>
      <w:bookmarkStart w:id="63" w:name="_Toc25126"/>
      <w:r>
        <w:rPr>
          <w:rFonts w:hint="eastAsia"/>
          <w:color w:val="auto"/>
          <w:highlight w:val="none"/>
          <w:lang w:val="en-US" w:eastAsia="zh-CN"/>
        </w:rPr>
        <w:t>1.7.4</w:t>
      </w:r>
      <w:r>
        <w:rPr>
          <w:rFonts w:hint="eastAsia"/>
          <w:color w:val="auto"/>
          <w:highlight w:val="none"/>
        </w:rPr>
        <w:t>施工总进度</w:t>
      </w:r>
      <w:bookmarkEnd w:id="62"/>
      <w:bookmarkEnd w:id="63"/>
    </w:p>
    <w:p>
      <w:pPr>
        <w:ind w:firstLine="480"/>
        <w:rPr>
          <w:color w:val="auto"/>
          <w:highlight w:val="none"/>
        </w:rPr>
      </w:pPr>
      <w:r>
        <w:rPr>
          <w:rFonts w:hint="eastAsia"/>
          <w:color w:val="auto"/>
          <w:highlight w:val="none"/>
        </w:rPr>
        <w:t>考虑到为了方便业主对工程筹资及工程施工管理的方便，同时考虑到工程施工以枯水季施工为主的特点，本次工程施工总工期为</w:t>
      </w:r>
      <w:r>
        <w:rPr>
          <w:color w:val="auto"/>
          <w:highlight w:val="none"/>
        </w:rPr>
        <w:t>6</w:t>
      </w:r>
      <w:r>
        <w:rPr>
          <w:rFonts w:hint="eastAsia"/>
          <w:color w:val="auto"/>
          <w:highlight w:val="none"/>
        </w:rPr>
        <w:t>个月：</w:t>
      </w:r>
    </w:p>
    <w:p>
      <w:pPr>
        <w:ind w:firstLine="480"/>
        <w:rPr>
          <w:rFonts w:hint="eastAsia"/>
          <w:color w:val="auto"/>
          <w:highlight w:val="none"/>
        </w:rPr>
      </w:pPr>
      <w:r>
        <w:rPr>
          <w:color w:val="auto"/>
          <w:highlight w:val="none"/>
        </w:rPr>
        <w:t>(1)</w:t>
      </w:r>
      <w:r>
        <w:rPr>
          <w:rFonts w:hint="eastAsia"/>
          <w:color w:val="auto"/>
          <w:highlight w:val="none"/>
        </w:rPr>
        <w:t>施工准备期</w:t>
      </w:r>
    </w:p>
    <w:p>
      <w:pPr>
        <w:ind w:firstLine="480"/>
        <w:rPr>
          <w:color w:val="auto"/>
          <w:highlight w:val="none"/>
        </w:rPr>
      </w:pPr>
      <w:r>
        <w:rPr>
          <w:rFonts w:hint="eastAsia"/>
          <w:color w:val="auto"/>
          <w:highlight w:val="none"/>
        </w:rPr>
        <w:t>施工准备期</w:t>
      </w:r>
      <w:r>
        <w:rPr>
          <w:color w:val="auto"/>
          <w:highlight w:val="none"/>
        </w:rPr>
        <w:t>1</w:t>
      </w:r>
      <w:r>
        <w:rPr>
          <w:rFonts w:hint="eastAsia"/>
          <w:color w:val="auto"/>
          <w:highlight w:val="none"/>
        </w:rPr>
        <w:t>个月</w:t>
      </w:r>
      <w:r>
        <w:rPr>
          <w:color w:val="auto"/>
          <w:spacing w:val="6"/>
          <w:highlight w:val="none"/>
        </w:rPr>
        <w:t>(</w:t>
      </w:r>
      <w:r>
        <w:rPr>
          <w:rFonts w:hint="eastAsia"/>
          <w:color w:val="auto"/>
          <w:spacing w:val="6"/>
          <w:highlight w:val="none"/>
        </w:rPr>
        <w:t>第一年</w:t>
      </w:r>
      <w:r>
        <w:rPr>
          <w:color w:val="auto"/>
          <w:spacing w:val="6"/>
          <w:highlight w:val="none"/>
        </w:rPr>
        <w:t>11</w:t>
      </w:r>
      <w:r>
        <w:rPr>
          <w:rFonts w:hint="eastAsia"/>
          <w:color w:val="auto"/>
          <w:spacing w:val="6"/>
          <w:highlight w:val="none"/>
        </w:rPr>
        <w:t>月</w:t>
      </w:r>
      <w:r>
        <w:rPr>
          <w:color w:val="auto"/>
          <w:spacing w:val="6"/>
          <w:highlight w:val="none"/>
        </w:rPr>
        <w:t>)</w:t>
      </w:r>
      <w:r>
        <w:rPr>
          <w:rFonts w:hint="eastAsia"/>
          <w:color w:val="auto"/>
          <w:highlight w:val="none"/>
        </w:rPr>
        <w:t>，完成项目水、电、道路等三通一平及坝顶清障工作；相关施工人员、材料设备进场；完成施工导流工作。</w:t>
      </w:r>
    </w:p>
    <w:p>
      <w:pPr>
        <w:ind w:firstLine="480"/>
        <w:rPr>
          <w:color w:val="auto"/>
          <w:highlight w:val="none"/>
        </w:rPr>
      </w:pPr>
      <w:r>
        <w:rPr>
          <w:color w:val="auto"/>
          <w:highlight w:val="none"/>
        </w:rPr>
        <w:t>(2)</w:t>
      </w:r>
      <w:r>
        <w:rPr>
          <w:rFonts w:hint="eastAsia"/>
          <w:color w:val="auto"/>
          <w:highlight w:val="none"/>
        </w:rPr>
        <w:t>主体工程施工期</w:t>
      </w:r>
    </w:p>
    <w:p>
      <w:pPr>
        <w:ind w:firstLine="480"/>
        <w:rPr>
          <w:color w:val="auto"/>
          <w:highlight w:val="none"/>
        </w:rPr>
      </w:pPr>
      <w:r>
        <w:rPr>
          <w:rFonts w:hint="eastAsia"/>
          <w:color w:val="auto"/>
          <w:highlight w:val="none"/>
        </w:rPr>
        <w:t>主体工程施工期</w:t>
      </w:r>
      <w:r>
        <w:rPr>
          <w:color w:val="auto"/>
          <w:highlight w:val="none"/>
        </w:rPr>
        <w:t>4</w:t>
      </w:r>
      <w:r>
        <w:rPr>
          <w:rFonts w:hint="eastAsia"/>
          <w:color w:val="auto"/>
          <w:highlight w:val="none"/>
        </w:rPr>
        <w:t>个月</w:t>
      </w:r>
      <w:r>
        <w:rPr>
          <w:color w:val="auto"/>
          <w:spacing w:val="6"/>
          <w:highlight w:val="none"/>
        </w:rPr>
        <w:t>(</w:t>
      </w:r>
      <w:r>
        <w:rPr>
          <w:rFonts w:hint="eastAsia"/>
          <w:color w:val="auto"/>
          <w:spacing w:val="6"/>
          <w:highlight w:val="none"/>
        </w:rPr>
        <w:t>第一年</w:t>
      </w:r>
      <w:r>
        <w:rPr>
          <w:color w:val="auto"/>
          <w:spacing w:val="6"/>
          <w:highlight w:val="none"/>
        </w:rPr>
        <w:t>12~</w:t>
      </w:r>
      <w:r>
        <w:rPr>
          <w:rFonts w:hint="eastAsia"/>
          <w:color w:val="auto"/>
          <w:spacing w:val="6"/>
          <w:highlight w:val="none"/>
        </w:rPr>
        <w:t>次年</w:t>
      </w:r>
      <w:r>
        <w:rPr>
          <w:color w:val="auto"/>
          <w:spacing w:val="6"/>
          <w:highlight w:val="none"/>
        </w:rPr>
        <w:t>3</w:t>
      </w:r>
      <w:r>
        <w:rPr>
          <w:rFonts w:hint="eastAsia"/>
          <w:color w:val="auto"/>
          <w:spacing w:val="6"/>
          <w:highlight w:val="none"/>
        </w:rPr>
        <w:t>月</w:t>
      </w:r>
      <w:r>
        <w:rPr>
          <w:color w:val="auto"/>
          <w:spacing w:val="6"/>
          <w:highlight w:val="none"/>
        </w:rPr>
        <w:t>)</w:t>
      </w:r>
      <w:r>
        <w:rPr>
          <w:rFonts w:hint="eastAsia"/>
          <w:color w:val="auto"/>
          <w:spacing w:val="6"/>
          <w:highlight w:val="none"/>
        </w:rPr>
        <w:t>。</w:t>
      </w:r>
    </w:p>
    <w:p>
      <w:pPr>
        <w:ind w:firstLine="480"/>
        <w:rPr>
          <w:rFonts w:hint="eastAsia"/>
          <w:color w:val="auto"/>
          <w:highlight w:val="none"/>
        </w:rPr>
      </w:pPr>
      <w:r>
        <w:rPr>
          <w:color w:val="auto"/>
          <w:highlight w:val="none"/>
        </w:rPr>
        <w:t>(3)</w:t>
      </w:r>
      <w:r>
        <w:rPr>
          <w:rFonts w:hint="eastAsia"/>
          <w:color w:val="auto"/>
          <w:highlight w:val="none"/>
        </w:rPr>
        <w:t>工程完建期</w:t>
      </w:r>
    </w:p>
    <w:p>
      <w:pPr>
        <w:bidi w:val="0"/>
        <w:rPr>
          <w:rFonts w:hint="eastAsia"/>
          <w:color w:val="auto"/>
          <w:highlight w:val="none"/>
        </w:rPr>
      </w:pPr>
      <w:r>
        <w:rPr>
          <w:rFonts w:hint="eastAsia"/>
          <w:color w:val="auto"/>
          <w:highlight w:val="none"/>
        </w:rPr>
        <w:t>工程完建期</w:t>
      </w:r>
      <w:r>
        <w:rPr>
          <w:color w:val="auto"/>
          <w:highlight w:val="none"/>
        </w:rPr>
        <w:t>1</w:t>
      </w:r>
      <w:r>
        <w:rPr>
          <w:rFonts w:hint="eastAsia"/>
          <w:color w:val="auto"/>
          <w:highlight w:val="none"/>
        </w:rPr>
        <w:t>个月</w:t>
      </w:r>
      <w:r>
        <w:rPr>
          <w:color w:val="auto"/>
          <w:spacing w:val="6"/>
          <w:highlight w:val="none"/>
        </w:rPr>
        <w:t>(</w:t>
      </w:r>
      <w:r>
        <w:rPr>
          <w:rFonts w:hint="eastAsia"/>
          <w:color w:val="auto"/>
          <w:spacing w:val="6"/>
          <w:highlight w:val="none"/>
        </w:rPr>
        <w:t>第二年</w:t>
      </w:r>
      <w:r>
        <w:rPr>
          <w:color w:val="auto"/>
          <w:spacing w:val="6"/>
          <w:highlight w:val="none"/>
        </w:rPr>
        <w:t>4</w:t>
      </w:r>
      <w:r>
        <w:rPr>
          <w:rFonts w:hint="eastAsia"/>
          <w:color w:val="auto"/>
          <w:spacing w:val="6"/>
          <w:highlight w:val="none"/>
        </w:rPr>
        <w:t>月</w:t>
      </w:r>
      <w:r>
        <w:rPr>
          <w:color w:val="auto"/>
          <w:spacing w:val="6"/>
          <w:highlight w:val="none"/>
        </w:rPr>
        <w:t>)</w:t>
      </w:r>
      <w:r>
        <w:rPr>
          <w:rFonts w:hint="eastAsia"/>
          <w:color w:val="auto"/>
          <w:highlight w:val="none"/>
        </w:rPr>
        <w:t>。本阶段主要工作任务和内容是，工程扫尾、工程验收等工作。</w:t>
      </w:r>
    </w:p>
    <w:p>
      <w:pPr>
        <w:pStyle w:val="66"/>
        <w:rPr>
          <w:rFonts w:hint="default"/>
          <w:color w:val="auto"/>
          <w:highlight w:val="none"/>
          <w:lang w:val="en-US" w:eastAsia="zh-CN"/>
        </w:rPr>
      </w:pPr>
    </w:p>
    <w:p>
      <w:pPr>
        <w:pStyle w:val="4"/>
        <w:bidi w:val="0"/>
        <w:rPr>
          <w:rFonts w:hint="eastAsia"/>
          <w:color w:val="auto"/>
          <w:highlight w:val="none"/>
          <w:lang w:val="en-US" w:eastAsia="zh-CN"/>
        </w:rPr>
      </w:pPr>
      <w:bookmarkStart w:id="64" w:name="_Toc711616581"/>
      <w:r>
        <w:rPr>
          <w:rFonts w:hint="eastAsia"/>
          <w:color w:val="auto"/>
          <w:highlight w:val="none"/>
          <w:lang w:val="en-US" w:eastAsia="zh-CN"/>
        </w:rPr>
        <w:t>1.8工程占地</w:t>
      </w:r>
      <w:bookmarkEnd w:id="64"/>
    </w:p>
    <w:p>
      <w:pPr>
        <w:pStyle w:val="5"/>
        <w:bidi w:val="0"/>
        <w:rPr>
          <w:color w:val="auto"/>
          <w:highlight w:val="none"/>
        </w:rPr>
      </w:pPr>
      <w:bookmarkStart w:id="65" w:name="_Toc112073663"/>
      <w:bookmarkStart w:id="66" w:name="_Toc390157295"/>
      <w:r>
        <w:rPr>
          <w:rFonts w:hint="eastAsia"/>
          <w:color w:val="auto"/>
          <w:highlight w:val="none"/>
          <w:lang w:val="en-US" w:eastAsia="zh-CN"/>
        </w:rPr>
        <w:t>1.8</w:t>
      </w:r>
      <w:r>
        <w:rPr>
          <w:color w:val="auto"/>
          <w:highlight w:val="none"/>
        </w:rPr>
        <w:t>.</w:t>
      </w:r>
      <w:r>
        <w:rPr>
          <w:rFonts w:hint="eastAsia"/>
          <w:color w:val="auto"/>
          <w:highlight w:val="none"/>
          <w:lang w:val="en-US" w:eastAsia="zh-CN"/>
        </w:rPr>
        <w:t>1</w:t>
      </w:r>
      <w:r>
        <w:rPr>
          <w:color w:val="auto"/>
          <w:highlight w:val="none"/>
        </w:rPr>
        <w:t>征地范围</w:t>
      </w:r>
      <w:bookmarkEnd w:id="65"/>
      <w:bookmarkEnd w:id="66"/>
    </w:p>
    <w:p>
      <w:pPr>
        <w:pStyle w:val="6"/>
        <w:bidi w:val="0"/>
        <w:rPr>
          <w:color w:val="auto"/>
          <w:highlight w:val="none"/>
        </w:rPr>
      </w:pPr>
      <w:r>
        <w:rPr>
          <w:rFonts w:hint="eastAsia"/>
          <w:color w:val="auto"/>
          <w:highlight w:val="none"/>
          <w:lang w:val="en-US" w:eastAsia="zh-CN"/>
        </w:rPr>
        <w:t>1.8</w:t>
      </w:r>
      <w:r>
        <w:rPr>
          <w:color w:val="auto"/>
          <w:highlight w:val="none"/>
        </w:rPr>
        <w:t>.</w:t>
      </w:r>
      <w:r>
        <w:rPr>
          <w:rFonts w:hint="eastAsia"/>
          <w:color w:val="auto"/>
          <w:highlight w:val="none"/>
          <w:lang w:val="en-US" w:eastAsia="zh-CN"/>
        </w:rPr>
        <w:t>1</w:t>
      </w:r>
      <w:r>
        <w:rPr>
          <w:color w:val="auto"/>
          <w:highlight w:val="none"/>
        </w:rPr>
        <w:t>.1永久占地</w:t>
      </w:r>
    </w:p>
    <w:p>
      <w:pPr>
        <w:bidi w:val="0"/>
        <w:rPr>
          <w:color w:val="auto"/>
          <w:highlight w:val="none"/>
        </w:rPr>
      </w:pPr>
      <w:r>
        <w:rPr>
          <w:rFonts w:hint="eastAsia"/>
          <w:color w:val="auto"/>
          <w:highlight w:val="none"/>
        </w:rPr>
        <w:t>永久占地主要包括大坝加固、溢洪道改造、村道等建设用地。</w:t>
      </w:r>
    </w:p>
    <w:p>
      <w:pPr>
        <w:bidi w:val="0"/>
        <w:rPr>
          <w:color w:val="auto"/>
          <w:highlight w:val="none"/>
        </w:rPr>
      </w:pPr>
      <w:r>
        <w:rPr>
          <w:color w:val="auto"/>
          <w:highlight w:val="none"/>
        </w:rPr>
        <w:t>根据实地调查</w:t>
      </w:r>
      <w:r>
        <w:rPr>
          <w:rFonts w:hint="eastAsia"/>
          <w:color w:val="auto"/>
          <w:highlight w:val="none"/>
        </w:rPr>
        <w:t>及结合工程特点</w:t>
      </w:r>
      <w:r>
        <w:rPr>
          <w:color w:val="auto"/>
          <w:highlight w:val="none"/>
        </w:rPr>
        <w:t>，工程建设均属</w:t>
      </w:r>
      <w:r>
        <w:rPr>
          <w:rFonts w:hint="eastAsia"/>
          <w:color w:val="auto"/>
          <w:highlight w:val="none"/>
        </w:rPr>
        <w:t>水库管理</w:t>
      </w:r>
      <w:r>
        <w:rPr>
          <w:color w:val="auto"/>
          <w:highlight w:val="none"/>
        </w:rPr>
        <w:t>用地范围</w:t>
      </w:r>
      <w:r>
        <w:rPr>
          <w:rFonts w:hint="eastAsia"/>
          <w:color w:val="auto"/>
          <w:highlight w:val="none"/>
        </w:rPr>
        <w:t>内进行</w:t>
      </w:r>
      <w:r>
        <w:rPr>
          <w:color w:val="auto"/>
          <w:highlight w:val="none"/>
        </w:rPr>
        <w:t>，不涉及新增永久占地。</w:t>
      </w:r>
    </w:p>
    <w:p>
      <w:pPr>
        <w:pStyle w:val="6"/>
        <w:bidi w:val="0"/>
        <w:rPr>
          <w:color w:val="auto"/>
          <w:highlight w:val="none"/>
        </w:rPr>
      </w:pPr>
      <w:r>
        <w:rPr>
          <w:rFonts w:hint="eastAsia"/>
          <w:color w:val="auto"/>
          <w:highlight w:val="none"/>
          <w:lang w:val="en-US" w:eastAsia="zh-CN"/>
        </w:rPr>
        <w:t>1.8</w:t>
      </w:r>
      <w:r>
        <w:rPr>
          <w:color w:val="auto"/>
          <w:highlight w:val="none"/>
        </w:rPr>
        <w:t>.</w:t>
      </w:r>
      <w:r>
        <w:rPr>
          <w:rFonts w:hint="eastAsia"/>
          <w:color w:val="auto"/>
          <w:highlight w:val="none"/>
          <w:lang w:val="en-US" w:eastAsia="zh-CN"/>
        </w:rPr>
        <w:t>1</w:t>
      </w:r>
      <w:r>
        <w:rPr>
          <w:color w:val="auto"/>
          <w:highlight w:val="none"/>
        </w:rPr>
        <w:t>.2临时用地</w:t>
      </w:r>
    </w:p>
    <w:p>
      <w:pPr>
        <w:bidi w:val="0"/>
        <w:rPr>
          <w:color w:val="auto"/>
          <w:highlight w:val="none"/>
        </w:rPr>
      </w:pPr>
      <w:r>
        <w:rPr>
          <w:color w:val="auto"/>
          <w:highlight w:val="none"/>
        </w:rPr>
        <w:t>临时用地</w:t>
      </w:r>
      <w:r>
        <w:rPr>
          <w:rFonts w:hint="eastAsia"/>
          <w:color w:val="auto"/>
          <w:highlight w:val="none"/>
        </w:rPr>
        <w:t>主要为施工营造布置区</w:t>
      </w:r>
      <w:r>
        <w:rPr>
          <w:color w:val="auto"/>
          <w:highlight w:val="none"/>
        </w:rPr>
        <w:t>。</w:t>
      </w:r>
    </w:p>
    <w:p>
      <w:pPr>
        <w:bidi w:val="0"/>
        <w:rPr>
          <w:rFonts w:hint="eastAsia"/>
          <w:color w:val="auto"/>
          <w:highlight w:val="none"/>
        </w:rPr>
      </w:pPr>
      <w:r>
        <w:rPr>
          <w:rFonts w:hint="eastAsia"/>
          <w:color w:val="auto"/>
          <w:highlight w:val="none"/>
        </w:rPr>
        <w:t>根据施工组织设计，弃渣用于城市建设回填，土料利用开挖料，不另设弃渣场和土料场，不涉及弃渣场和土料场临时征地。</w:t>
      </w:r>
    </w:p>
    <w:p>
      <w:pPr>
        <w:pStyle w:val="5"/>
        <w:bidi w:val="0"/>
        <w:rPr>
          <w:color w:val="auto"/>
          <w:highlight w:val="none"/>
        </w:rPr>
      </w:pPr>
      <w:r>
        <w:rPr>
          <w:rFonts w:hint="eastAsia"/>
          <w:color w:val="auto"/>
          <w:highlight w:val="none"/>
          <w:lang w:val="en-US" w:eastAsia="zh-CN"/>
        </w:rPr>
        <w:t>1.8.2</w:t>
      </w:r>
      <w:r>
        <w:rPr>
          <w:color w:val="auto"/>
          <w:highlight w:val="none"/>
        </w:rPr>
        <w:t>调查成果</w:t>
      </w:r>
    </w:p>
    <w:p>
      <w:pPr>
        <w:adjustRightInd w:val="0"/>
        <w:snapToGrid w:val="0"/>
        <w:spacing w:line="500" w:lineRule="atLeast"/>
        <w:ind w:firstLine="480" w:firstLineChars="200"/>
        <w:rPr>
          <w:rFonts w:hint="default" w:ascii="Times New Roman" w:hAnsi="Times New Roman" w:cs="Times New Roman"/>
          <w:color w:val="auto"/>
          <w:sz w:val="24"/>
          <w:highlight w:val="none"/>
        </w:rPr>
      </w:pPr>
      <w:bookmarkStart w:id="67" w:name="_Toc112073665"/>
      <w:r>
        <w:rPr>
          <w:rFonts w:hint="default" w:ascii="Times New Roman" w:hAnsi="Times New Roman" w:cs="Times New Roman"/>
          <w:color w:val="auto"/>
          <w:sz w:val="24"/>
          <w:highlight w:val="none"/>
        </w:rPr>
        <w:t>工程占地设计成果：房屋拆除96.29m</w:t>
      </w:r>
      <w:r>
        <w:rPr>
          <w:rFonts w:hint="default" w:ascii="Times New Roman" w:hAnsi="Times New Roman" w:cs="Times New Roman"/>
          <w:color w:val="auto"/>
          <w:sz w:val="24"/>
          <w:highlight w:val="none"/>
          <w:vertAlign w:val="superscript"/>
        </w:rPr>
        <w:t>2</w:t>
      </w:r>
      <w:r>
        <w:rPr>
          <w:rFonts w:hint="default" w:ascii="Times New Roman" w:hAnsi="Times New Roman" w:cs="Times New Roman"/>
          <w:color w:val="auto"/>
          <w:sz w:val="24"/>
          <w:highlight w:val="none"/>
        </w:rPr>
        <w:t>，为耕作管理房；</w:t>
      </w:r>
      <w:r>
        <w:rPr>
          <w:color w:val="auto"/>
          <w:sz w:val="24"/>
          <w:highlight w:val="none"/>
        </w:rPr>
        <w:t>工程永久占地3.74亩，</w:t>
      </w:r>
      <w:r>
        <w:rPr>
          <w:rFonts w:hint="eastAsia"/>
          <w:color w:val="auto"/>
          <w:sz w:val="24"/>
          <w:highlight w:val="none"/>
        </w:rPr>
        <w:t>其中林地3</w:t>
      </w:r>
      <w:r>
        <w:rPr>
          <w:color w:val="auto"/>
          <w:sz w:val="24"/>
          <w:highlight w:val="none"/>
        </w:rPr>
        <w:t>.22亩，农村宅基地</w:t>
      </w:r>
      <w:r>
        <w:rPr>
          <w:rFonts w:hint="eastAsia"/>
          <w:color w:val="auto"/>
          <w:sz w:val="24"/>
          <w:highlight w:val="none"/>
        </w:rPr>
        <w:t>0</w:t>
      </w:r>
      <w:r>
        <w:rPr>
          <w:color w:val="auto"/>
          <w:sz w:val="24"/>
          <w:highlight w:val="none"/>
        </w:rPr>
        <w:t>.52亩；工程</w:t>
      </w:r>
      <w:r>
        <w:rPr>
          <w:snapToGrid w:val="0"/>
          <w:color w:val="auto"/>
          <w:kern w:val="0"/>
          <w:sz w:val="24"/>
          <w:highlight w:val="none"/>
        </w:rPr>
        <w:t>临时用地</w:t>
      </w:r>
      <w:r>
        <w:rPr>
          <w:rFonts w:hint="eastAsia"/>
          <w:snapToGrid w:val="0"/>
          <w:color w:val="auto"/>
          <w:kern w:val="0"/>
          <w:sz w:val="24"/>
          <w:highlight w:val="none"/>
        </w:rPr>
        <w:t>2.35</w:t>
      </w:r>
      <w:r>
        <w:rPr>
          <w:snapToGrid w:val="0"/>
          <w:color w:val="auto"/>
          <w:kern w:val="0"/>
          <w:sz w:val="24"/>
          <w:highlight w:val="none"/>
        </w:rPr>
        <w:t>亩，</w:t>
      </w:r>
      <w:r>
        <w:rPr>
          <w:rFonts w:hint="eastAsia"/>
          <w:snapToGrid w:val="0"/>
          <w:color w:val="auto"/>
          <w:kern w:val="0"/>
          <w:sz w:val="24"/>
          <w:highlight w:val="none"/>
        </w:rPr>
        <w:t>其中林地1.45亩</w:t>
      </w:r>
      <w:r>
        <w:rPr>
          <w:snapToGrid w:val="0"/>
          <w:color w:val="auto"/>
          <w:kern w:val="0"/>
          <w:sz w:val="24"/>
          <w:highlight w:val="none"/>
        </w:rPr>
        <w:t>，</w:t>
      </w:r>
      <w:r>
        <w:rPr>
          <w:rFonts w:hint="eastAsia"/>
          <w:snapToGrid w:val="0"/>
          <w:color w:val="auto"/>
          <w:kern w:val="0"/>
          <w:sz w:val="24"/>
          <w:highlight w:val="none"/>
        </w:rPr>
        <w:t>空闲地0.9亩，</w:t>
      </w:r>
      <w:r>
        <w:rPr>
          <w:rFonts w:hint="default" w:ascii="Times New Roman" w:hAnsi="Times New Roman" w:cs="Times New Roman"/>
          <w:color w:val="auto"/>
          <w:sz w:val="24"/>
          <w:highlight w:val="none"/>
        </w:rPr>
        <w:t>工程永久占地及临时用地实物调查分别见表</w:t>
      </w:r>
      <w:r>
        <w:rPr>
          <w:rFonts w:hint="eastAsia" w:ascii="Times New Roman" w:hAnsi="Times New Roman" w:cs="Times New Roman"/>
          <w:color w:val="auto"/>
          <w:sz w:val="24"/>
          <w:highlight w:val="none"/>
          <w:lang w:val="en-US" w:eastAsia="zh-CN"/>
        </w:rPr>
        <w:t>1.</w:t>
      </w:r>
      <w:r>
        <w:rPr>
          <w:rFonts w:hint="default" w:ascii="Times New Roman" w:hAnsi="Times New Roman" w:cs="Times New Roman"/>
          <w:color w:val="auto"/>
          <w:sz w:val="24"/>
          <w:highlight w:val="none"/>
        </w:rPr>
        <w:t>8-1～表</w:t>
      </w:r>
      <w:r>
        <w:rPr>
          <w:rFonts w:hint="eastAsia" w:ascii="Times New Roman" w:hAnsi="Times New Roman" w:cs="Times New Roman"/>
          <w:color w:val="auto"/>
          <w:sz w:val="24"/>
          <w:highlight w:val="none"/>
          <w:lang w:val="en-US" w:eastAsia="zh-CN"/>
        </w:rPr>
        <w:t>1.</w:t>
      </w:r>
      <w:r>
        <w:rPr>
          <w:rFonts w:hint="default" w:ascii="Times New Roman" w:hAnsi="Times New Roman" w:cs="Times New Roman"/>
          <w:color w:val="auto"/>
          <w:sz w:val="24"/>
          <w:highlight w:val="none"/>
        </w:rPr>
        <w:t>8-2。</w:t>
      </w:r>
    </w:p>
    <w:p>
      <w:pPr>
        <w:adjustRightInd w:val="0"/>
        <w:snapToGrid w:val="0"/>
        <w:spacing w:line="500" w:lineRule="atLeast"/>
        <w:ind w:left="0" w:leftChars="0" w:firstLine="0" w:firstLineChars="0"/>
        <w:jc w:val="center"/>
        <w:rPr>
          <w:rFonts w:hint="default" w:ascii="Times New Roman" w:hAnsi="Times New Roman" w:eastAsia="宋体" w:cs="Times New Roman"/>
          <w:snapToGrid w:val="0"/>
          <w:color w:val="auto"/>
          <w:kern w:val="0"/>
          <w:sz w:val="24"/>
          <w:highlight w:val="none"/>
        </w:rPr>
      </w:pPr>
      <w:r>
        <w:rPr>
          <w:rFonts w:hint="default" w:ascii="Times New Roman" w:hAnsi="Times New Roman" w:eastAsia="宋体" w:cs="Times New Roman"/>
          <w:snapToGrid w:val="0"/>
          <w:color w:val="auto"/>
          <w:kern w:val="0"/>
          <w:sz w:val="24"/>
          <w:highlight w:val="none"/>
        </w:rPr>
        <w:t>表</w:t>
      </w:r>
      <w:r>
        <w:rPr>
          <w:rFonts w:hint="eastAsia" w:ascii="Times New Roman" w:hAnsi="Times New Roman" w:eastAsia="宋体" w:cs="Times New Roman"/>
          <w:snapToGrid w:val="0"/>
          <w:color w:val="auto"/>
          <w:kern w:val="0"/>
          <w:sz w:val="24"/>
          <w:highlight w:val="none"/>
          <w:lang w:val="en-US" w:eastAsia="zh-CN"/>
        </w:rPr>
        <w:t>1.</w:t>
      </w:r>
      <w:r>
        <w:rPr>
          <w:rFonts w:hint="default" w:ascii="Times New Roman" w:hAnsi="Times New Roman" w:eastAsia="宋体" w:cs="Times New Roman"/>
          <w:snapToGrid w:val="0"/>
          <w:color w:val="auto"/>
          <w:kern w:val="0"/>
          <w:sz w:val="24"/>
          <w:highlight w:val="none"/>
        </w:rPr>
        <w:t>8-1  工程永久占地实物调查统计表</w:t>
      </w:r>
    </w:p>
    <w:tbl>
      <w:tblPr>
        <w:tblStyle w:val="23"/>
        <w:tblW w:w="5000" w:type="pct"/>
        <w:tblInd w:w="0" w:type="dxa"/>
        <w:tblLayout w:type="autofit"/>
        <w:tblCellMar>
          <w:top w:w="0" w:type="dxa"/>
          <w:left w:w="108" w:type="dxa"/>
          <w:bottom w:w="0" w:type="dxa"/>
          <w:right w:w="108" w:type="dxa"/>
        </w:tblCellMar>
      </w:tblPr>
      <w:tblGrid>
        <w:gridCol w:w="3252"/>
        <w:gridCol w:w="1236"/>
        <w:gridCol w:w="1367"/>
        <w:gridCol w:w="2667"/>
      </w:tblGrid>
      <w:tr>
        <w:tblPrEx>
          <w:tblCellMar>
            <w:top w:w="0" w:type="dxa"/>
            <w:left w:w="108" w:type="dxa"/>
            <w:bottom w:w="0" w:type="dxa"/>
            <w:right w:w="108" w:type="dxa"/>
          </w:tblCellMar>
        </w:tblPrEx>
        <w:trPr>
          <w:trHeight w:val="311" w:hRule="atLeast"/>
        </w:trPr>
        <w:tc>
          <w:tcPr>
            <w:tcW w:w="1908"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firstLine="0" w:firstLineChars="0"/>
              <w:textAlignment w:val="auto"/>
              <w:rPr>
                <w:rFonts w:hint="default" w:ascii="Times New Roman" w:hAnsi="Times New Roman" w:eastAsia="宋体" w:cs="Times New Roman"/>
                <w:color w:val="auto"/>
                <w:kern w:val="0"/>
                <w:sz w:val="21"/>
                <w:szCs w:val="21"/>
                <w:highlight w:val="none"/>
              </w:rPr>
            </w:pPr>
            <w:r>
              <w:rPr>
                <w:rFonts w:hint="eastAsia" w:ascii="Times New Roman" w:hAnsi="Times New Roman" w:eastAsia="宋体" w:cs="Times New Roman"/>
                <w:color w:val="auto"/>
                <w:kern w:val="0"/>
                <w:sz w:val="21"/>
                <w:szCs w:val="21"/>
                <w:highlight w:val="none"/>
              </w:rPr>
              <w:t>项目</w:t>
            </w:r>
          </w:p>
        </w:tc>
        <w:tc>
          <w:tcPr>
            <w:tcW w:w="725"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firstLine="0" w:firstLineChars="0"/>
              <w:textAlignment w:val="auto"/>
              <w:rPr>
                <w:rFonts w:hint="eastAsia" w:ascii="Times New Roman" w:hAnsi="Times New Roman" w:eastAsia="宋体" w:cs="Times New Roman"/>
                <w:color w:val="auto"/>
                <w:kern w:val="0"/>
                <w:sz w:val="21"/>
                <w:szCs w:val="21"/>
                <w:highlight w:val="none"/>
              </w:rPr>
            </w:pPr>
            <w:r>
              <w:rPr>
                <w:rFonts w:hint="eastAsia" w:ascii="Times New Roman" w:hAnsi="Times New Roman" w:eastAsia="宋体" w:cs="Times New Roman"/>
                <w:color w:val="auto"/>
                <w:kern w:val="0"/>
                <w:sz w:val="21"/>
                <w:szCs w:val="21"/>
                <w:highlight w:val="none"/>
              </w:rPr>
              <w:t>单位</w:t>
            </w:r>
          </w:p>
        </w:tc>
        <w:tc>
          <w:tcPr>
            <w:tcW w:w="802"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firstLine="0" w:firstLineChars="0"/>
              <w:textAlignment w:val="auto"/>
              <w:rPr>
                <w:rFonts w:hint="eastAsia" w:ascii="Times New Roman" w:hAnsi="Times New Roman" w:eastAsia="宋体" w:cs="Times New Roman"/>
                <w:color w:val="auto"/>
                <w:kern w:val="0"/>
                <w:sz w:val="21"/>
                <w:szCs w:val="21"/>
                <w:highlight w:val="none"/>
              </w:rPr>
            </w:pPr>
            <w:r>
              <w:rPr>
                <w:rFonts w:hint="eastAsia" w:ascii="Times New Roman" w:hAnsi="Times New Roman" w:eastAsia="宋体" w:cs="Times New Roman"/>
                <w:color w:val="auto"/>
                <w:kern w:val="0"/>
                <w:sz w:val="21"/>
                <w:szCs w:val="21"/>
                <w:highlight w:val="none"/>
              </w:rPr>
              <w:t>合计</w:t>
            </w:r>
          </w:p>
        </w:tc>
        <w:tc>
          <w:tcPr>
            <w:tcW w:w="1565"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firstLine="0" w:firstLineChars="0"/>
              <w:textAlignment w:val="auto"/>
              <w:rPr>
                <w:rFonts w:hint="eastAsia" w:ascii="Times New Roman" w:hAnsi="Times New Roman" w:eastAsia="宋体" w:cs="Times New Roman"/>
                <w:color w:val="auto"/>
                <w:kern w:val="0"/>
                <w:sz w:val="21"/>
                <w:szCs w:val="21"/>
                <w:highlight w:val="none"/>
              </w:rPr>
            </w:pPr>
            <w:r>
              <w:rPr>
                <w:rFonts w:hint="eastAsia" w:ascii="Times New Roman" w:hAnsi="Times New Roman" w:eastAsia="宋体" w:cs="Times New Roman"/>
                <w:color w:val="auto"/>
                <w:kern w:val="0"/>
                <w:sz w:val="21"/>
                <w:szCs w:val="21"/>
                <w:highlight w:val="none"/>
              </w:rPr>
              <w:t>备注</w:t>
            </w:r>
          </w:p>
        </w:tc>
      </w:tr>
      <w:tr>
        <w:tblPrEx>
          <w:tblCellMar>
            <w:top w:w="0" w:type="dxa"/>
            <w:left w:w="108" w:type="dxa"/>
            <w:bottom w:w="0" w:type="dxa"/>
            <w:right w:w="108" w:type="dxa"/>
          </w:tblCellMar>
        </w:tblPrEx>
        <w:trPr>
          <w:trHeight w:val="311" w:hRule="atLeast"/>
        </w:trPr>
        <w:tc>
          <w:tcPr>
            <w:tcW w:w="1908"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firstLine="0" w:firstLineChars="0"/>
              <w:textAlignment w:val="auto"/>
              <w:rPr>
                <w:rFonts w:hint="default" w:ascii="Times New Roman" w:hAnsi="Times New Roman" w:eastAsia="宋体" w:cs="Times New Roman"/>
                <w:color w:val="auto"/>
                <w:kern w:val="0"/>
                <w:sz w:val="21"/>
                <w:szCs w:val="21"/>
                <w:highlight w:val="none"/>
              </w:rPr>
            </w:pPr>
          </w:p>
        </w:tc>
        <w:tc>
          <w:tcPr>
            <w:tcW w:w="725"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firstLine="0" w:firstLineChars="0"/>
              <w:textAlignment w:val="auto"/>
              <w:rPr>
                <w:rFonts w:hint="default" w:ascii="Times New Roman" w:hAnsi="Times New Roman" w:eastAsia="宋体" w:cs="Times New Roman"/>
                <w:color w:val="auto"/>
                <w:kern w:val="0"/>
                <w:sz w:val="21"/>
                <w:szCs w:val="21"/>
                <w:highlight w:val="none"/>
              </w:rPr>
            </w:pPr>
          </w:p>
        </w:tc>
        <w:tc>
          <w:tcPr>
            <w:tcW w:w="802"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firstLine="0" w:firstLineChars="0"/>
              <w:textAlignment w:val="auto"/>
              <w:rPr>
                <w:rFonts w:hint="default" w:ascii="Times New Roman" w:hAnsi="Times New Roman" w:eastAsia="宋体" w:cs="Times New Roman"/>
                <w:color w:val="auto"/>
                <w:kern w:val="0"/>
                <w:sz w:val="21"/>
                <w:szCs w:val="21"/>
                <w:highlight w:val="none"/>
              </w:rPr>
            </w:pPr>
          </w:p>
        </w:tc>
        <w:tc>
          <w:tcPr>
            <w:tcW w:w="1565"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firstLine="0" w:firstLineChars="0"/>
              <w:textAlignment w:val="auto"/>
              <w:rPr>
                <w:rFonts w:hint="default" w:ascii="Times New Roman" w:hAnsi="Times New Roman" w:eastAsia="宋体" w:cs="Times New Roman"/>
                <w:color w:val="auto"/>
                <w:kern w:val="0"/>
                <w:sz w:val="21"/>
                <w:szCs w:val="21"/>
                <w:highlight w:val="none"/>
              </w:rPr>
            </w:pPr>
          </w:p>
        </w:tc>
      </w:tr>
      <w:tr>
        <w:tblPrEx>
          <w:tblCellMar>
            <w:top w:w="0" w:type="dxa"/>
            <w:left w:w="108" w:type="dxa"/>
            <w:bottom w:w="0" w:type="dxa"/>
            <w:right w:w="108" w:type="dxa"/>
          </w:tblCellMar>
        </w:tblPrEx>
        <w:trPr>
          <w:trHeight w:val="285" w:hRule="atLeast"/>
        </w:trPr>
        <w:tc>
          <w:tcPr>
            <w:tcW w:w="1908" w:type="pct"/>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firstLine="0" w:firstLineChars="0"/>
              <w:textAlignment w:val="auto"/>
              <w:rPr>
                <w:rFonts w:hint="eastAsia" w:ascii="Times New Roman" w:hAnsi="Times New Roman" w:eastAsia="宋体" w:cs="Times New Roman"/>
                <w:color w:val="auto"/>
                <w:kern w:val="0"/>
                <w:sz w:val="21"/>
                <w:szCs w:val="21"/>
                <w:highlight w:val="none"/>
              </w:rPr>
            </w:pPr>
            <w:r>
              <w:rPr>
                <w:rFonts w:hint="eastAsia" w:ascii="Times New Roman" w:hAnsi="Times New Roman" w:eastAsia="宋体" w:cs="Times New Roman"/>
                <w:color w:val="auto"/>
                <w:kern w:val="0"/>
                <w:sz w:val="21"/>
                <w:szCs w:val="21"/>
                <w:highlight w:val="none"/>
              </w:rPr>
              <w:t>一、房屋拆除</w:t>
            </w:r>
          </w:p>
        </w:tc>
        <w:tc>
          <w:tcPr>
            <w:tcW w:w="725"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firstLine="0" w:firstLineChars="0"/>
              <w:textAlignment w:val="auto"/>
              <w:rPr>
                <w:rFonts w:hint="eastAsia" w:ascii="Times New Roman" w:hAnsi="Times New Roman" w:eastAsia="宋体" w:cs="Times New Roman"/>
                <w:color w:val="auto"/>
                <w:kern w:val="0"/>
                <w:sz w:val="21"/>
                <w:szCs w:val="21"/>
                <w:highlight w:val="none"/>
              </w:rPr>
            </w:pPr>
            <w:r>
              <w:rPr>
                <w:rFonts w:hint="eastAsia" w:ascii="Times New Roman" w:hAnsi="Times New Roman" w:eastAsia="宋体" w:cs="Times New Roman"/>
                <w:color w:val="auto"/>
                <w:kern w:val="0"/>
                <w:sz w:val="21"/>
                <w:szCs w:val="21"/>
                <w:highlight w:val="none"/>
              </w:rPr>
              <w:t>m2</w:t>
            </w:r>
          </w:p>
        </w:tc>
        <w:tc>
          <w:tcPr>
            <w:tcW w:w="802"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firstLine="0" w:firstLineChars="0"/>
              <w:textAlignment w:val="auto"/>
              <w:rPr>
                <w:rFonts w:hint="eastAsia" w:ascii="Times New Roman" w:hAnsi="Times New Roman" w:eastAsia="宋体" w:cs="Times New Roman"/>
                <w:color w:val="auto"/>
                <w:kern w:val="0"/>
                <w:sz w:val="21"/>
                <w:szCs w:val="21"/>
                <w:highlight w:val="none"/>
              </w:rPr>
            </w:pPr>
            <w:r>
              <w:rPr>
                <w:rFonts w:hint="eastAsia" w:ascii="Times New Roman" w:hAnsi="Times New Roman" w:eastAsia="宋体" w:cs="Times New Roman"/>
                <w:color w:val="auto"/>
                <w:kern w:val="0"/>
                <w:sz w:val="21"/>
                <w:szCs w:val="21"/>
                <w:highlight w:val="none"/>
              </w:rPr>
              <w:t xml:space="preserve">96.29 </w:t>
            </w:r>
          </w:p>
        </w:tc>
        <w:tc>
          <w:tcPr>
            <w:tcW w:w="1565" w:type="pct"/>
            <w:vMerge w:val="restart"/>
            <w:tcBorders>
              <w:top w:val="nil"/>
              <w:left w:val="single" w:color="auto"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firstLine="0" w:firstLineChars="0"/>
              <w:textAlignment w:val="auto"/>
              <w:rPr>
                <w:rFonts w:hint="eastAsia" w:ascii="Times New Roman" w:hAnsi="Times New Roman" w:eastAsia="宋体" w:cs="Times New Roman"/>
                <w:color w:val="auto"/>
                <w:kern w:val="0"/>
                <w:sz w:val="21"/>
                <w:szCs w:val="21"/>
                <w:highlight w:val="none"/>
              </w:rPr>
            </w:pPr>
            <w:r>
              <w:rPr>
                <w:rFonts w:hint="eastAsia" w:ascii="Times New Roman" w:hAnsi="Times New Roman" w:eastAsia="宋体" w:cs="Times New Roman"/>
                <w:color w:val="auto"/>
                <w:kern w:val="0"/>
                <w:sz w:val="21"/>
                <w:szCs w:val="21"/>
                <w:highlight w:val="none"/>
              </w:rPr>
              <w:t>耕作管理房</w:t>
            </w:r>
          </w:p>
        </w:tc>
      </w:tr>
      <w:tr>
        <w:tblPrEx>
          <w:tblCellMar>
            <w:top w:w="0" w:type="dxa"/>
            <w:left w:w="108" w:type="dxa"/>
            <w:bottom w:w="0" w:type="dxa"/>
            <w:right w:w="108" w:type="dxa"/>
          </w:tblCellMar>
        </w:tblPrEx>
        <w:trPr>
          <w:trHeight w:val="285" w:hRule="atLeast"/>
        </w:trPr>
        <w:tc>
          <w:tcPr>
            <w:tcW w:w="1908" w:type="pct"/>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firstLine="0" w:firstLineChars="0"/>
              <w:textAlignment w:val="auto"/>
              <w:rPr>
                <w:rFonts w:hint="eastAsia" w:ascii="Times New Roman" w:hAnsi="Times New Roman" w:eastAsia="宋体" w:cs="Times New Roman"/>
                <w:color w:val="auto"/>
                <w:kern w:val="0"/>
                <w:sz w:val="21"/>
                <w:szCs w:val="21"/>
                <w:highlight w:val="none"/>
              </w:rPr>
            </w:pPr>
            <w:r>
              <w:rPr>
                <w:rFonts w:hint="eastAsia" w:ascii="Times New Roman" w:hAnsi="Times New Roman" w:eastAsia="宋体" w:cs="Times New Roman"/>
                <w:color w:val="auto"/>
                <w:kern w:val="0"/>
                <w:sz w:val="21"/>
                <w:szCs w:val="21"/>
                <w:highlight w:val="none"/>
              </w:rPr>
              <w:t xml:space="preserve">    1、简易棚房</w:t>
            </w:r>
          </w:p>
        </w:tc>
        <w:tc>
          <w:tcPr>
            <w:tcW w:w="725"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firstLine="0" w:firstLineChars="0"/>
              <w:textAlignment w:val="auto"/>
              <w:rPr>
                <w:rFonts w:hint="eastAsia" w:ascii="Times New Roman" w:hAnsi="Times New Roman" w:eastAsia="宋体" w:cs="Times New Roman"/>
                <w:color w:val="auto"/>
                <w:kern w:val="0"/>
                <w:sz w:val="21"/>
                <w:szCs w:val="21"/>
                <w:highlight w:val="none"/>
              </w:rPr>
            </w:pPr>
            <w:r>
              <w:rPr>
                <w:rFonts w:hint="eastAsia" w:ascii="Times New Roman" w:hAnsi="Times New Roman" w:eastAsia="宋体" w:cs="Times New Roman"/>
                <w:color w:val="auto"/>
                <w:kern w:val="0"/>
                <w:sz w:val="21"/>
                <w:szCs w:val="21"/>
                <w:highlight w:val="none"/>
              </w:rPr>
              <w:t>m2</w:t>
            </w:r>
          </w:p>
        </w:tc>
        <w:tc>
          <w:tcPr>
            <w:tcW w:w="802"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firstLine="0" w:firstLineChars="0"/>
              <w:textAlignment w:val="auto"/>
              <w:rPr>
                <w:rFonts w:hint="eastAsia" w:ascii="Times New Roman" w:hAnsi="Times New Roman" w:eastAsia="宋体" w:cs="Times New Roman"/>
                <w:color w:val="auto"/>
                <w:kern w:val="0"/>
                <w:sz w:val="21"/>
                <w:szCs w:val="21"/>
                <w:highlight w:val="none"/>
              </w:rPr>
            </w:pPr>
            <w:r>
              <w:rPr>
                <w:rFonts w:hint="eastAsia" w:ascii="Times New Roman" w:hAnsi="Times New Roman" w:eastAsia="宋体" w:cs="Times New Roman"/>
                <w:color w:val="auto"/>
                <w:kern w:val="0"/>
                <w:sz w:val="21"/>
                <w:szCs w:val="21"/>
                <w:highlight w:val="none"/>
              </w:rPr>
              <w:t xml:space="preserve">96.29 </w:t>
            </w:r>
          </w:p>
        </w:tc>
        <w:tc>
          <w:tcPr>
            <w:tcW w:w="1565" w:type="pct"/>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firstLine="0" w:firstLineChars="0"/>
              <w:textAlignment w:val="auto"/>
              <w:rPr>
                <w:rFonts w:hint="default" w:ascii="Times New Roman" w:hAnsi="Times New Roman" w:eastAsia="宋体" w:cs="Times New Roman"/>
                <w:color w:val="auto"/>
                <w:kern w:val="0"/>
                <w:sz w:val="21"/>
                <w:szCs w:val="21"/>
                <w:highlight w:val="none"/>
              </w:rPr>
            </w:pPr>
          </w:p>
        </w:tc>
      </w:tr>
      <w:tr>
        <w:tblPrEx>
          <w:tblCellMar>
            <w:top w:w="0" w:type="dxa"/>
            <w:left w:w="108" w:type="dxa"/>
            <w:bottom w:w="0" w:type="dxa"/>
            <w:right w:w="108" w:type="dxa"/>
          </w:tblCellMar>
        </w:tblPrEx>
        <w:trPr>
          <w:trHeight w:val="285" w:hRule="atLeast"/>
        </w:trPr>
        <w:tc>
          <w:tcPr>
            <w:tcW w:w="1908" w:type="pct"/>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firstLine="0" w:firstLineChars="0"/>
              <w:textAlignment w:val="auto"/>
              <w:rPr>
                <w:rFonts w:hint="eastAsia" w:ascii="Times New Roman" w:hAnsi="Times New Roman" w:eastAsia="宋体" w:cs="Times New Roman"/>
                <w:color w:val="auto"/>
                <w:kern w:val="0"/>
                <w:sz w:val="21"/>
                <w:szCs w:val="21"/>
                <w:highlight w:val="none"/>
              </w:rPr>
            </w:pPr>
            <w:r>
              <w:rPr>
                <w:rFonts w:hint="eastAsia" w:ascii="Times New Roman" w:hAnsi="Times New Roman" w:eastAsia="宋体" w:cs="Times New Roman"/>
                <w:color w:val="auto"/>
                <w:kern w:val="0"/>
                <w:sz w:val="21"/>
                <w:szCs w:val="21"/>
                <w:highlight w:val="none"/>
              </w:rPr>
              <w:t>二、永久占地</w:t>
            </w:r>
          </w:p>
        </w:tc>
        <w:tc>
          <w:tcPr>
            <w:tcW w:w="725"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firstLine="0" w:firstLineChars="0"/>
              <w:textAlignment w:val="auto"/>
              <w:rPr>
                <w:rFonts w:hint="eastAsia" w:ascii="Times New Roman" w:hAnsi="Times New Roman" w:eastAsia="宋体" w:cs="Times New Roman"/>
                <w:color w:val="auto"/>
                <w:kern w:val="0"/>
                <w:sz w:val="21"/>
                <w:szCs w:val="21"/>
                <w:highlight w:val="none"/>
              </w:rPr>
            </w:pPr>
            <w:r>
              <w:rPr>
                <w:rFonts w:hint="eastAsia" w:ascii="Times New Roman" w:hAnsi="Times New Roman" w:eastAsia="宋体" w:cs="Times New Roman"/>
                <w:color w:val="auto"/>
                <w:kern w:val="0"/>
                <w:sz w:val="21"/>
                <w:szCs w:val="21"/>
                <w:highlight w:val="none"/>
              </w:rPr>
              <w:t xml:space="preserve">亩 </w:t>
            </w:r>
          </w:p>
        </w:tc>
        <w:tc>
          <w:tcPr>
            <w:tcW w:w="802"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firstLine="0" w:firstLineChars="0"/>
              <w:textAlignment w:val="auto"/>
              <w:rPr>
                <w:rFonts w:hint="eastAsia" w:ascii="Times New Roman" w:hAnsi="Times New Roman" w:eastAsia="宋体" w:cs="Times New Roman"/>
                <w:color w:val="auto"/>
                <w:kern w:val="0"/>
                <w:sz w:val="21"/>
                <w:szCs w:val="21"/>
                <w:highlight w:val="none"/>
              </w:rPr>
            </w:pPr>
            <w:r>
              <w:rPr>
                <w:rFonts w:hint="eastAsia" w:ascii="Times New Roman" w:hAnsi="Times New Roman" w:eastAsia="宋体" w:cs="Times New Roman"/>
                <w:color w:val="auto"/>
                <w:kern w:val="0"/>
                <w:sz w:val="21"/>
                <w:szCs w:val="21"/>
                <w:highlight w:val="none"/>
              </w:rPr>
              <w:t xml:space="preserve">3.74 </w:t>
            </w:r>
          </w:p>
        </w:tc>
        <w:tc>
          <w:tcPr>
            <w:tcW w:w="1565"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firstLine="0" w:firstLineChars="0"/>
              <w:textAlignment w:val="auto"/>
              <w:rPr>
                <w:rFonts w:hint="eastAsia" w:ascii="Times New Roman" w:hAnsi="Times New Roman" w:eastAsia="宋体" w:cs="Times New Roman"/>
                <w:color w:val="auto"/>
                <w:kern w:val="0"/>
                <w:sz w:val="21"/>
                <w:szCs w:val="21"/>
                <w:highlight w:val="none"/>
              </w:rPr>
            </w:pPr>
            <w:r>
              <w:rPr>
                <w:rFonts w:hint="eastAsia" w:ascii="Times New Roman" w:hAnsi="Times New Roman" w:eastAsia="宋体" w:cs="Times New Roman"/>
                <w:color w:val="auto"/>
                <w:kern w:val="0"/>
                <w:sz w:val="21"/>
                <w:szCs w:val="21"/>
                <w:highlight w:val="none"/>
              </w:rPr>
              <w:t>　</w:t>
            </w:r>
          </w:p>
        </w:tc>
      </w:tr>
      <w:tr>
        <w:tblPrEx>
          <w:tblCellMar>
            <w:top w:w="0" w:type="dxa"/>
            <w:left w:w="108" w:type="dxa"/>
            <w:bottom w:w="0" w:type="dxa"/>
            <w:right w:w="108" w:type="dxa"/>
          </w:tblCellMar>
        </w:tblPrEx>
        <w:trPr>
          <w:trHeight w:val="285" w:hRule="atLeast"/>
        </w:trPr>
        <w:tc>
          <w:tcPr>
            <w:tcW w:w="1908" w:type="pct"/>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firstLine="0" w:firstLineChars="0"/>
              <w:textAlignment w:val="auto"/>
              <w:rPr>
                <w:rFonts w:hint="eastAsia" w:ascii="Times New Roman" w:hAnsi="Times New Roman" w:eastAsia="宋体" w:cs="Times New Roman"/>
                <w:color w:val="auto"/>
                <w:kern w:val="0"/>
                <w:sz w:val="21"/>
                <w:szCs w:val="21"/>
                <w:highlight w:val="none"/>
              </w:rPr>
            </w:pPr>
            <w:r>
              <w:rPr>
                <w:rFonts w:hint="eastAsia" w:ascii="Times New Roman" w:hAnsi="Times New Roman" w:eastAsia="宋体" w:cs="Times New Roman"/>
                <w:color w:val="auto"/>
                <w:kern w:val="0"/>
                <w:sz w:val="21"/>
                <w:szCs w:val="21"/>
                <w:highlight w:val="none"/>
              </w:rPr>
              <w:t xml:space="preserve">    1、林地</w:t>
            </w:r>
          </w:p>
        </w:tc>
        <w:tc>
          <w:tcPr>
            <w:tcW w:w="725"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firstLine="0" w:firstLineChars="0"/>
              <w:textAlignment w:val="auto"/>
              <w:rPr>
                <w:rFonts w:hint="eastAsia" w:ascii="Times New Roman" w:hAnsi="Times New Roman" w:eastAsia="宋体" w:cs="Times New Roman"/>
                <w:color w:val="auto"/>
                <w:kern w:val="0"/>
                <w:sz w:val="21"/>
                <w:szCs w:val="21"/>
                <w:highlight w:val="none"/>
              </w:rPr>
            </w:pPr>
            <w:r>
              <w:rPr>
                <w:rFonts w:hint="eastAsia" w:ascii="Times New Roman" w:hAnsi="Times New Roman" w:eastAsia="宋体" w:cs="Times New Roman"/>
                <w:color w:val="auto"/>
                <w:kern w:val="0"/>
                <w:sz w:val="21"/>
                <w:szCs w:val="21"/>
                <w:highlight w:val="none"/>
              </w:rPr>
              <w:t xml:space="preserve">亩 </w:t>
            </w:r>
          </w:p>
        </w:tc>
        <w:tc>
          <w:tcPr>
            <w:tcW w:w="802"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firstLine="0" w:firstLineChars="0"/>
              <w:textAlignment w:val="auto"/>
              <w:rPr>
                <w:rFonts w:hint="eastAsia" w:ascii="Times New Roman" w:hAnsi="Times New Roman" w:eastAsia="宋体" w:cs="Times New Roman"/>
                <w:color w:val="auto"/>
                <w:kern w:val="0"/>
                <w:sz w:val="21"/>
                <w:szCs w:val="21"/>
                <w:highlight w:val="none"/>
              </w:rPr>
            </w:pPr>
            <w:r>
              <w:rPr>
                <w:rFonts w:hint="eastAsia" w:ascii="Times New Roman" w:hAnsi="Times New Roman" w:eastAsia="宋体" w:cs="Times New Roman"/>
                <w:color w:val="auto"/>
                <w:kern w:val="0"/>
                <w:sz w:val="21"/>
                <w:szCs w:val="21"/>
                <w:highlight w:val="none"/>
              </w:rPr>
              <w:t xml:space="preserve">3.22 </w:t>
            </w:r>
          </w:p>
        </w:tc>
        <w:tc>
          <w:tcPr>
            <w:tcW w:w="1565"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firstLine="0" w:firstLineChars="0"/>
              <w:textAlignment w:val="auto"/>
              <w:rPr>
                <w:rFonts w:hint="eastAsia" w:ascii="Times New Roman" w:hAnsi="Times New Roman" w:eastAsia="宋体" w:cs="Times New Roman"/>
                <w:color w:val="auto"/>
                <w:kern w:val="0"/>
                <w:sz w:val="21"/>
                <w:szCs w:val="21"/>
                <w:highlight w:val="none"/>
              </w:rPr>
            </w:pPr>
            <w:r>
              <w:rPr>
                <w:rFonts w:hint="eastAsia" w:ascii="Times New Roman" w:hAnsi="Times New Roman" w:eastAsia="宋体" w:cs="Times New Roman"/>
                <w:color w:val="auto"/>
                <w:kern w:val="0"/>
                <w:sz w:val="21"/>
                <w:szCs w:val="21"/>
                <w:highlight w:val="none"/>
              </w:rPr>
              <w:t>进村公路</w:t>
            </w:r>
          </w:p>
        </w:tc>
      </w:tr>
      <w:tr>
        <w:tblPrEx>
          <w:tblCellMar>
            <w:top w:w="0" w:type="dxa"/>
            <w:left w:w="108" w:type="dxa"/>
            <w:bottom w:w="0" w:type="dxa"/>
            <w:right w:w="108" w:type="dxa"/>
          </w:tblCellMar>
        </w:tblPrEx>
        <w:trPr>
          <w:trHeight w:val="285" w:hRule="atLeast"/>
        </w:trPr>
        <w:tc>
          <w:tcPr>
            <w:tcW w:w="1908" w:type="pct"/>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firstLine="0" w:firstLineChars="0"/>
              <w:textAlignment w:val="auto"/>
              <w:rPr>
                <w:rFonts w:hint="eastAsia" w:ascii="Times New Roman" w:hAnsi="Times New Roman" w:eastAsia="宋体" w:cs="Times New Roman"/>
                <w:color w:val="auto"/>
                <w:kern w:val="0"/>
                <w:sz w:val="21"/>
                <w:szCs w:val="21"/>
                <w:highlight w:val="none"/>
              </w:rPr>
            </w:pPr>
            <w:r>
              <w:rPr>
                <w:rFonts w:hint="eastAsia" w:ascii="Times New Roman" w:hAnsi="Times New Roman" w:eastAsia="宋体" w:cs="Times New Roman"/>
                <w:color w:val="auto"/>
                <w:kern w:val="0"/>
                <w:sz w:val="21"/>
                <w:szCs w:val="21"/>
                <w:highlight w:val="none"/>
              </w:rPr>
              <w:t xml:space="preserve">    2、农村宅基地</w:t>
            </w:r>
          </w:p>
        </w:tc>
        <w:tc>
          <w:tcPr>
            <w:tcW w:w="725"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firstLine="0" w:firstLineChars="0"/>
              <w:textAlignment w:val="auto"/>
              <w:rPr>
                <w:rFonts w:hint="eastAsia" w:ascii="Times New Roman" w:hAnsi="Times New Roman" w:eastAsia="宋体" w:cs="Times New Roman"/>
                <w:color w:val="auto"/>
                <w:kern w:val="0"/>
                <w:sz w:val="21"/>
                <w:szCs w:val="21"/>
                <w:highlight w:val="none"/>
              </w:rPr>
            </w:pPr>
            <w:r>
              <w:rPr>
                <w:rFonts w:hint="eastAsia" w:ascii="Times New Roman" w:hAnsi="Times New Roman" w:eastAsia="宋体" w:cs="Times New Roman"/>
                <w:color w:val="auto"/>
                <w:kern w:val="0"/>
                <w:sz w:val="21"/>
                <w:szCs w:val="21"/>
                <w:highlight w:val="none"/>
              </w:rPr>
              <w:t xml:space="preserve">亩 </w:t>
            </w:r>
          </w:p>
        </w:tc>
        <w:tc>
          <w:tcPr>
            <w:tcW w:w="802"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firstLine="0" w:firstLineChars="0"/>
              <w:textAlignment w:val="auto"/>
              <w:rPr>
                <w:rFonts w:hint="eastAsia" w:ascii="Times New Roman" w:hAnsi="Times New Roman" w:eastAsia="宋体" w:cs="Times New Roman"/>
                <w:color w:val="auto"/>
                <w:kern w:val="0"/>
                <w:sz w:val="21"/>
                <w:szCs w:val="21"/>
                <w:highlight w:val="none"/>
              </w:rPr>
            </w:pPr>
            <w:r>
              <w:rPr>
                <w:rFonts w:hint="eastAsia" w:ascii="Times New Roman" w:hAnsi="Times New Roman" w:eastAsia="宋体" w:cs="Times New Roman"/>
                <w:color w:val="auto"/>
                <w:kern w:val="0"/>
                <w:sz w:val="21"/>
                <w:szCs w:val="21"/>
                <w:highlight w:val="none"/>
              </w:rPr>
              <w:t xml:space="preserve">0.52 </w:t>
            </w:r>
          </w:p>
        </w:tc>
        <w:tc>
          <w:tcPr>
            <w:tcW w:w="1565"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firstLine="0" w:firstLineChars="0"/>
              <w:textAlignment w:val="auto"/>
              <w:rPr>
                <w:rFonts w:hint="eastAsia" w:ascii="Times New Roman" w:hAnsi="Times New Roman" w:eastAsia="宋体" w:cs="Times New Roman"/>
                <w:color w:val="auto"/>
                <w:kern w:val="0"/>
                <w:sz w:val="21"/>
                <w:szCs w:val="21"/>
                <w:highlight w:val="none"/>
              </w:rPr>
            </w:pPr>
            <w:r>
              <w:rPr>
                <w:rFonts w:hint="eastAsia" w:ascii="Times New Roman" w:hAnsi="Times New Roman" w:eastAsia="宋体" w:cs="Times New Roman"/>
                <w:color w:val="auto"/>
                <w:kern w:val="0"/>
                <w:sz w:val="21"/>
                <w:szCs w:val="21"/>
                <w:highlight w:val="none"/>
              </w:rPr>
              <w:t>溢洪道</w:t>
            </w:r>
          </w:p>
        </w:tc>
      </w:tr>
      <w:tr>
        <w:tblPrEx>
          <w:tblCellMar>
            <w:top w:w="0" w:type="dxa"/>
            <w:left w:w="108" w:type="dxa"/>
            <w:bottom w:w="0" w:type="dxa"/>
            <w:right w:w="108" w:type="dxa"/>
          </w:tblCellMar>
        </w:tblPrEx>
        <w:trPr>
          <w:trHeight w:val="285" w:hRule="atLeast"/>
        </w:trPr>
        <w:tc>
          <w:tcPr>
            <w:tcW w:w="1908" w:type="pct"/>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firstLine="0" w:firstLineChars="0"/>
              <w:textAlignment w:val="auto"/>
              <w:rPr>
                <w:rFonts w:hint="eastAsia" w:ascii="Times New Roman" w:hAnsi="Times New Roman" w:eastAsia="宋体" w:cs="Times New Roman"/>
                <w:color w:val="auto"/>
                <w:kern w:val="0"/>
                <w:sz w:val="21"/>
                <w:szCs w:val="21"/>
                <w:highlight w:val="none"/>
              </w:rPr>
            </w:pPr>
            <w:r>
              <w:rPr>
                <w:rFonts w:hint="eastAsia" w:ascii="Times New Roman" w:hAnsi="Times New Roman" w:eastAsia="宋体" w:cs="Times New Roman"/>
                <w:color w:val="auto"/>
                <w:kern w:val="0"/>
                <w:sz w:val="21"/>
                <w:szCs w:val="21"/>
                <w:highlight w:val="none"/>
              </w:rPr>
              <w:t>三、专项设施</w:t>
            </w:r>
          </w:p>
        </w:tc>
        <w:tc>
          <w:tcPr>
            <w:tcW w:w="725"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firstLine="0" w:firstLineChars="0"/>
              <w:textAlignment w:val="auto"/>
              <w:rPr>
                <w:rFonts w:hint="eastAsia" w:ascii="Times New Roman" w:hAnsi="Times New Roman" w:eastAsia="宋体" w:cs="Times New Roman"/>
                <w:color w:val="auto"/>
                <w:kern w:val="0"/>
                <w:sz w:val="21"/>
                <w:szCs w:val="21"/>
                <w:highlight w:val="none"/>
              </w:rPr>
            </w:pPr>
            <w:r>
              <w:rPr>
                <w:rFonts w:hint="eastAsia" w:ascii="Times New Roman" w:hAnsi="Times New Roman" w:eastAsia="宋体" w:cs="Times New Roman"/>
                <w:color w:val="auto"/>
                <w:kern w:val="0"/>
                <w:sz w:val="21"/>
                <w:szCs w:val="21"/>
                <w:highlight w:val="none"/>
              </w:rPr>
              <w:t>　</w:t>
            </w:r>
          </w:p>
        </w:tc>
        <w:tc>
          <w:tcPr>
            <w:tcW w:w="802"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firstLine="0" w:firstLineChars="0"/>
              <w:textAlignment w:val="auto"/>
              <w:rPr>
                <w:rFonts w:hint="eastAsia" w:ascii="Times New Roman" w:hAnsi="Times New Roman" w:eastAsia="宋体" w:cs="Times New Roman"/>
                <w:color w:val="auto"/>
                <w:kern w:val="0"/>
                <w:sz w:val="21"/>
                <w:szCs w:val="21"/>
                <w:highlight w:val="none"/>
              </w:rPr>
            </w:pPr>
            <w:r>
              <w:rPr>
                <w:rFonts w:hint="eastAsia" w:ascii="Times New Roman" w:hAnsi="Times New Roman" w:eastAsia="宋体" w:cs="Times New Roman"/>
                <w:color w:val="auto"/>
                <w:kern w:val="0"/>
                <w:sz w:val="21"/>
                <w:szCs w:val="21"/>
                <w:highlight w:val="none"/>
              </w:rPr>
              <w:t>　</w:t>
            </w:r>
          </w:p>
        </w:tc>
        <w:tc>
          <w:tcPr>
            <w:tcW w:w="1565"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firstLine="0" w:firstLineChars="0"/>
              <w:textAlignment w:val="auto"/>
              <w:rPr>
                <w:rFonts w:hint="eastAsia" w:ascii="Times New Roman" w:hAnsi="Times New Roman" w:eastAsia="宋体" w:cs="Times New Roman"/>
                <w:color w:val="auto"/>
                <w:kern w:val="0"/>
                <w:sz w:val="21"/>
                <w:szCs w:val="21"/>
                <w:highlight w:val="none"/>
              </w:rPr>
            </w:pPr>
            <w:r>
              <w:rPr>
                <w:rFonts w:hint="eastAsia" w:ascii="Times New Roman" w:hAnsi="Times New Roman" w:eastAsia="宋体" w:cs="Times New Roman"/>
                <w:color w:val="auto"/>
                <w:kern w:val="0"/>
                <w:sz w:val="21"/>
                <w:szCs w:val="21"/>
                <w:highlight w:val="none"/>
              </w:rPr>
              <w:t>　</w:t>
            </w:r>
          </w:p>
        </w:tc>
      </w:tr>
      <w:tr>
        <w:tblPrEx>
          <w:tblCellMar>
            <w:top w:w="0" w:type="dxa"/>
            <w:left w:w="108" w:type="dxa"/>
            <w:bottom w:w="0" w:type="dxa"/>
            <w:right w:w="108" w:type="dxa"/>
          </w:tblCellMar>
        </w:tblPrEx>
        <w:trPr>
          <w:trHeight w:val="285" w:hRule="atLeast"/>
        </w:trPr>
        <w:tc>
          <w:tcPr>
            <w:tcW w:w="1908" w:type="pct"/>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firstLine="0" w:firstLineChars="0"/>
              <w:textAlignment w:val="auto"/>
              <w:rPr>
                <w:rFonts w:hint="eastAsia" w:ascii="Times New Roman" w:hAnsi="Times New Roman" w:eastAsia="宋体" w:cs="Times New Roman"/>
                <w:color w:val="auto"/>
                <w:kern w:val="0"/>
                <w:sz w:val="21"/>
                <w:szCs w:val="21"/>
                <w:highlight w:val="none"/>
              </w:rPr>
            </w:pPr>
            <w:r>
              <w:rPr>
                <w:rFonts w:hint="eastAsia" w:ascii="Times New Roman" w:hAnsi="Times New Roman" w:eastAsia="宋体" w:cs="Times New Roman"/>
                <w:color w:val="auto"/>
                <w:kern w:val="0"/>
                <w:sz w:val="21"/>
                <w:szCs w:val="21"/>
                <w:highlight w:val="none"/>
              </w:rPr>
              <w:t xml:space="preserve">    1、坟墓</w:t>
            </w:r>
          </w:p>
        </w:tc>
        <w:tc>
          <w:tcPr>
            <w:tcW w:w="725"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firstLine="0" w:firstLineChars="0"/>
              <w:textAlignment w:val="auto"/>
              <w:rPr>
                <w:rFonts w:hint="eastAsia" w:ascii="Times New Roman" w:hAnsi="Times New Roman" w:eastAsia="宋体" w:cs="Times New Roman"/>
                <w:color w:val="auto"/>
                <w:kern w:val="0"/>
                <w:sz w:val="21"/>
                <w:szCs w:val="21"/>
                <w:highlight w:val="none"/>
              </w:rPr>
            </w:pPr>
            <w:r>
              <w:rPr>
                <w:rFonts w:hint="eastAsia" w:ascii="Times New Roman" w:hAnsi="Times New Roman" w:eastAsia="宋体" w:cs="Times New Roman"/>
                <w:color w:val="auto"/>
                <w:kern w:val="0"/>
                <w:sz w:val="21"/>
                <w:szCs w:val="21"/>
                <w:highlight w:val="none"/>
              </w:rPr>
              <w:t>座</w:t>
            </w:r>
          </w:p>
        </w:tc>
        <w:tc>
          <w:tcPr>
            <w:tcW w:w="802"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firstLine="0" w:firstLineChars="0"/>
              <w:textAlignment w:val="auto"/>
              <w:rPr>
                <w:rFonts w:hint="eastAsia" w:ascii="Times New Roman" w:hAnsi="Times New Roman" w:eastAsia="宋体" w:cs="Times New Roman"/>
                <w:color w:val="auto"/>
                <w:kern w:val="0"/>
                <w:sz w:val="21"/>
                <w:szCs w:val="21"/>
                <w:highlight w:val="none"/>
              </w:rPr>
            </w:pPr>
            <w:r>
              <w:rPr>
                <w:rFonts w:hint="eastAsia" w:ascii="Times New Roman" w:hAnsi="Times New Roman" w:eastAsia="宋体" w:cs="Times New Roman"/>
                <w:color w:val="auto"/>
                <w:kern w:val="0"/>
                <w:sz w:val="21"/>
                <w:szCs w:val="21"/>
                <w:highlight w:val="none"/>
              </w:rPr>
              <w:t>1</w:t>
            </w:r>
          </w:p>
        </w:tc>
        <w:tc>
          <w:tcPr>
            <w:tcW w:w="1565"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firstLine="0" w:firstLineChars="0"/>
              <w:textAlignment w:val="auto"/>
              <w:rPr>
                <w:rFonts w:hint="eastAsia" w:ascii="Times New Roman" w:hAnsi="Times New Roman" w:eastAsia="宋体" w:cs="Times New Roman"/>
                <w:color w:val="auto"/>
                <w:kern w:val="0"/>
                <w:sz w:val="21"/>
                <w:szCs w:val="21"/>
                <w:highlight w:val="none"/>
              </w:rPr>
            </w:pPr>
            <w:r>
              <w:rPr>
                <w:rFonts w:hint="eastAsia" w:ascii="Times New Roman" w:hAnsi="Times New Roman" w:eastAsia="宋体" w:cs="Times New Roman"/>
                <w:color w:val="auto"/>
                <w:kern w:val="0"/>
                <w:sz w:val="21"/>
                <w:szCs w:val="21"/>
                <w:highlight w:val="none"/>
              </w:rPr>
              <w:t>迁移</w:t>
            </w:r>
          </w:p>
        </w:tc>
      </w:tr>
    </w:tbl>
    <w:p>
      <w:pPr>
        <w:adjustRightInd w:val="0"/>
        <w:snapToGrid w:val="0"/>
        <w:spacing w:line="500" w:lineRule="atLeast"/>
        <w:jc w:val="center"/>
        <w:rPr>
          <w:rFonts w:hint="default" w:ascii="Times New Roman" w:hAnsi="Times New Roman" w:eastAsia="宋体" w:cs="Times New Roman"/>
          <w:snapToGrid w:val="0"/>
          <w:color w:val="auto"/>
          <w:kern w:val="0"/>
          <w:sz w:val="24"/>
          <w:highlight w:val="none"/>
        </w:rPr>
      </w:pPr>
    </w:p>
    <w:p>
      <w:pPr>
        <w:adjustRightInd w:val="0"/>
        <w:snapToGrid w:val="0"/>
        <w:spacing w:line="500" w:lineRule="atLeast"/>
        <w:jc w:val="center"/>
        <w:rPr>
          <w:rFonts w:hint="default" w:ascii="Times New Roman" w:hAnsi="Times New Roman" w:eastAsia="黑体" w:cs="Times New Roman"/>
          <w:snapToGrid w:val="0"/>
          <w:color w:val="auto"/>
          <w:kern w:val="0"/>
          <w:sz w:val="24"/>
          <w:highlight w:val="none"/>
        </w:rPr>
      </w:pPr>
      <w:r>
        <w:rPr>
          <w:rFonts w:hint="default" w:ascii="Times New Roman" w:hAnsi="Times New Roman" w:eastAsia="宋体" w:cs="Times New Roman"/>
          <w:snapToGrid w:val="0"/>
          <w:color w:val="auto"/>
          <w:kern w:val="0"/>
          <w:sz w:val="24"/>
          <w:highlight w:val="none"/>
        </w:rPr>
        <w:t>表</w:t>
      </w:r>
      <w:r>
        <w:rPr>
          <w:rFonts w:hint="eastAsia" w:ascii="Times New Roman" w:hAnsi="Times New Roman" w:eastAsia="宋体" w:cs="Times New Roman"/>
          <w:snapToGrid w:val="0"/>
          <w:color w:val="auto"/>
          <w:kern w:val="0"/>
          <w:sz w:val="24"/>
          <w:highlight w:val="none"/>
          <w:lang w:val="en-US" w:eastAsia="zh-CN"/>
        </w:rPr>
        <w:t>1.</w:t>
      </w:r>
      <w:r>
        <w:rPr>
          <w:rFonts w:hint="default" w:ascii="Times New Roman" w:hAnsi="Times New Roman" w:eastAsia="宋体" w:cs="Times New Roman"/>
          <w:snapToGrid w:val="0"/>
          <w:color w:val="auto"/>
          <w:kern w:val="0"/>
          <w:sz w:val="24"/>
          <w:highlight w:val="none"/>
        </w:rPr>
        <w:t>8-2  工程临时用地实物调查统计表</w:t>
      </w:r>
    </w:p>
    <w:tbl>
      <w:tblPr>
        <w:tblStyle w:val="23"/>
        <w:tblW w:w="5000" w:type="pct"/>
        <w:tblInd w:w="0" w:type="dxa"/>
        <w:tblLayout w:type="autofit"/>
        <w:tblCellMar>
          <w:top w:w="0" w:type="dxa"/>
          <w:left w:w="108" w:type="dxa"/>
          <w:bottom w:w="0" w:type="dxa"/>
          <w:right w:w="108" w:type="dxa"/>
        </w:tblCellMar>
      </w:tblPr>
      <w:tblGrid>
        <w:gridCol w:w="2429"/>
        <w:gridCol w:w="1130"/>
        <w:gridCol w:w="1738"/>
        <w:gridCol w:w="1738"/>
        <w:gridCol w:w="1487"/>
      </w:tblGrid>
      <w:tr>
        <w:tblPrEx>
          <w:tblCellMar>
            <w:top w:w="0" w:type="dxa"/>
            <w:left w:w="108" w:type="dxa"/>
            <w:bottom w:w="0" w:type="dxa"/>
            <w:right w:w="108" w:type="dxa"/>
          </w:tblCellMar>
        </w:tblPrEx>
        <w:trPr>
          <w:trHeight w:val="285" w:hRule="atLeast"/>
        </w:trPr>
        <w:tc>
          <w:tcPr>
            <w:tcW w:w="1425" w:type="pct"/>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default" w:ascii="Times New Roman" w:hAnsi="Times New Roman" w:cs="Times New Roman"/>
                <w:color w:val="auto"/>
                <w:kern w:val="0"/>
                <w:sz w:val="21"/>
                <w:szCs w:val="21"/>
                <w:highlight w:val="none"/>
              </w:rPr>
            </w:pPr>
            <w:r>
              <w:rPr>
                <w:rFonts w:hint="default" w:ascii="Times New Roman" w:hAnsi="Times New Roman" w:cs="Times New Roman"/>
                <w:color w:val="auto"/>
                <w:kern w:val="0"/>
                <w:sz w:val="21"/>
                <w:szCs w:val="21"/>
                <w:highlight w:val="none"/>
              </w:rPr>
              <w:t>项目</w:t>
            </w:r>
          </w:p>
        </w:tc>
        <w:tc>
          <w:tcPr>
            <w:tcW w:w="663" w:type="pct"/>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default" w:ascii="Times New Roman" w:hAnsi="Times New Roman" w:cs="Times New Roman"/>
                <w:color w:val="auto"/>
                <w:kern w:val="0"/>
                <w:sz w:val="21"/>
                <w:szCs w:val="21"/>
                <w:highlight w:val="none"/>
              </w:rPr>
            </w:pPr>
            <w:r>
              <w:rPr>
                <w:rFonts w:hint="default" w:ascii="Times New Roman" w:hAnsi="Times New Roman" w:cs="Times New Roman"/>
                <w:color w:val="auto"/>
                <w:kern w:val="0"/>
                <w:sz w:val="21"/>
                <w:szCs w:val="21"/>
                <w:highlight w:val="none"/>
              </w:rPr>
              <w:t>单位</w:t>
            </w:r>
          </w:p>
        </w:tc>
        <w:tc>
          <w:tcPr>
            <w:tcW w:w="1020" w:type="pct"/>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default" w:ascii="Times New Roman" w:hAnsi="Times New Roman" w:cs="Times New Roman"/>
                <w:color w:val="auto"/>
                <w:kern w:val="0"/>
                <w:sz w:val="21"/>
                <w:szCs w:val="21"/>
                <w:highlight w:val="none"/>
              </w:rPr>
            </w:pPr>
            <w:r>
              <w:rPr>
                <w:rFonts w:hint="default" w:ascii="Times New Roman" w:hAnsi="Times New Roman" w:cs="Times New Roman"/>
                <w:color w:val="auto"/>
                <w:kern w:val="0"/>
                <w:sz w:val="21"/>
                <w:szCs w:val="21"/>
                <w:highlight w:val="none"/>
              </w:rPr>
              <w:t>施工营造布置</w:t>
            </w:r>
          </w:p>
        </w:tc>
        <w:tc>
          <w:tcPr>
            <w:tcW w:w="1020" w:type="pct"/>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default" w:ascii="Times New Roman" w:hAnsi="Times New Roman" w:cs="Times New Roman"/>
                <w:color w:val="auto"/>
                <w:kern w:val="0"/>
                <w:sz w:val="21"/>
                <w:szCs w:val="21"/>
                <w:highlight w:val="none"/>
              </w:rPr>
            </w:pPr>
            <w:r>
              <w:rPr>
                <w:rFonts w:hint="default" w:ascii="Times New Roman" w:hAnsi="Times New Roman" w:cs="Times New Roman"/>
                <w:color w:val="auto"/>
                <w:kern w:val="0"/>
                <w:sz w:val="21"/>
                <w:szCs w:val="21"/>
                <w:highlight w:val="none"/>
              </w:rPr>
              <w:t>开挖临时用地</w:t>
            </w:r>
          </w:p>
        </w:tc>
        <w:tc>
          <w:tcPr>
            <w:tcW w:w="872" w:type="pct"/>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default" w:ascii="Times New Roman" w:hAnsi="Times New Roman" w:cs="Times New Roman"/>
                <w:color w:val="auto"/>
                <w:kern w:val="0"/>
                <w:sz w:val="21"/>
                <w:szCs w:val="21"/>
                <w:highlight w:val="none"/>
              </w:rPr>
            </w:pPr>
            <w:r>
              <w:rPr>
                <w:rFonts w:hint="default" w:ascii="Times New Roman" w:hAnsi="Times New Roman" w:cs="Times New Roman"/>
                <w:color w:val="auto"/>
                <w:kern w:val="0"/>
                <w:sz w:val="21"/>
                <w:szCs w:val="21"/>
                <w:highlight w:val="none"/>
              </w:rPr>
              <w:t xml:space="preserve"> 合计</w:t>
            </w:r>
          </w:p>
        </w:tc>
      </w:tr>
      <w:tr>
        <w:tblPrEx>
          <w:tblCellMar>
            <w:top w:w="0" w:type="dxa"/>
            <w:left w:w="108" w:type="dxa"/>
            <w:bottom w:w="0" w:type="dxa"/>
            <w:right w:w="108" w:type="dxa"/>
          </w:tblCellMar>
        </w:tblPrEx>
        <w:trPr>
          <w:trHeight w:val="285" w:hRule="atLeast"/>
        </w:trPr>
        <w:tc>
          <w:tcPr>
            <w:tcW w:w="1425" w:type="pct"/>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default" w:ascii="Times New Roman" w:hAnsi="Times New Roman" w:cs="Times New Roman"/>
                <w:color w:val="auto"/>
                <w:kern w:val="0"/>
                <w:sz w:val="21"/>
                <w:szCs w:val="21"/>
                <w:highlight w:val="none"/>
              </w:rPr>
            </w:pPr>
            <w:r>
              <w:rPr>
                <w:rFonts w:hint="default" w:ascii="Times New Roman" w:hAnsi="Times New Roman" w:cs="Times New Roman"/>
                <w:color w:val="auto"/>
                <w:kern w:val="0"/>
                <w:sz w:val="21"/>
                <w:szCs w:val="21"/>
                <w:highlight w:val="none"/>
              </w:rPr>
              <w:t>临时用地</w:t>
            </w:r>
          </w:p>
        </w:tc>
        <w:tc>
          <w:tcPr>
            <w:tcW w:w="663" w:type="pct"/>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default" w:ascii="Times New Roman" w:hAnsi="Times New Roman" w:cs="Times New Roman"/>
                <w:color w:val="auto"/>
                <w:kern w:val="0"/>
                <w:sz w:val="21"/>
                <w:szCs w:val="21"/>
                <w:highlight w:val="none"/>
              </w:rPr>
            </w:pPr>
            <w:r>
              <w:rPr>
                <w:rFonts w:hint="default" w:ascii="Times New Roman" w:hAnsi="Times New Roman" w:cs="Times New Roman"/>
                <w:color w:val="auto"/>
                <w:kern w:val="0"/>
                <w:sz w:val="21"/>
                <w:szCs w:val="21"/>
                <w:highlight w:val="none"/>
              </w:rPr>
              <w:t xml:space="preserve">亩 </w:t>
            </w:r>
          </w:p>
        </w:tc>
        <w:tc>
          <w:tcPr>
            <w:tcW w:w="1020" w:type="pct"/>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default" w:ascii="Times New Roman" w:hAnsi="Times New Roman" w:cs="Times New Roman"/>
                <w:color w:val="auto"/>
                <w:kern w:val="0"/>
                <w:sz w:val="21"/>
                <w:szCs w:val="21"/>
                <w:highlight w:val="none"/>
              </w:rPr>
            </w:pPr>
            <w:r>
              <w:rPr>
                <w:rFonts w:hint="default" w:ascii="Times New Roman" w:hAnsi="Times New Roman" w:cs="Times New Roman"/>
                <w:color w:val="auto"/>
                <w:kern w:val="0"/>
                <w:sz w:val="21"/>
                <w:szCs w:val="21"/>
                <w:highlight w:val="none"/>
              </w:rPr>
              <w:t xml:space="preserve">0.90 </w:t>
            </w:r>
          </w:p>
        </w:tc>
        <w:tc>
          <w:tcPr>
            <w:tcW w:w="1020" w:type="pct"/>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default" w:ascii="Times New Roman" w:hAnsi="Times New Roman" w:cs="Times New Roman"/>
                <w:color w:val="auto"/>
                <w:kern w:val="0"/>
                <w:sz w:val="21"/>
                <w:szCs w:val="21"/>
                <w:highlight w:val="none"/>
              </w:rPr>
            </w:pPr>
            <w:r>
              <w:rPr>
                <w:rFonts w:hint="default" w:ascii="Times New Roman" w:hAnsi="Times New Roman" w:cs="Times New Roman"/>
                <w:color w:val="auto"/>
                <w:kern w:val="0"/>
                <w:sz w:val="21"/>
                <w:szCs w:val="21"/>
                <w:highlight w:val="none"/>
              </w:rPr>
              <w:t xml:space="preserve">1.45 </w:t>
            </w:r>
          </w:p>
        </w:tc>
        <w:tc>
          <w:tcPr>
            <w:tcW w:w="872" w:type="pct"/>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default" w:ascii="Times New Roman" w:hAnsi="Times New Roman" w:cs="Times New Roman"/>
                <w:color w:val="auto"/>
                <w:kern w:val="0"/>
                <w:sz w:val="21"/>
                <w:szCs w:val="21"/>
                <w:highlight w:val="none"/>
              </w:rPr>
            </w:pPr>
            <w:r>
              <w:rPr>
                <w:rFonts w:hint="default" w:ascii="Times New Roman" w:hAnsi="Times New Roman" w:cs="Times New Roman"/>
                <w:color w:val="auto"/>
                <w:kern w:val="0"/>
                <w:sz w:val="21"/>
                <w:szCs w:val="21"/>
                <w:highlight w:val="none"/>
              </w:rPr>
              <w:t xml:space="preserve">2.35 </w:t>
            </w:r>
          </w:p>
        </w:tc>
      </w:tr>
      <w:tr>
        <w:tblPrEx>
          <w:tblCellMar>
            <w:top w:w="0" w:type="dxa"/>
            <w:left w:w="108" w:type="dxa"/>
            <w:bottom w:w="0" w:type="dxa"/>
            <w:right w:w="108" w:type="dxa"/>
          </w:tblCellMar>
        </w:tblPrEx>
        <w:trPr>
          <w:trHeight w:val="285" w:hRule="atLeast"/>
        </w:trPr>
        <w:tc>
          <w:tcPr>
            <w:tcW w:w="1425" w:type="pct"/>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ind w:firstLine="0" w:firstLineChars="0"/>
              <w:textAlignment w:val="auto"/>
              <w:rPr>
                <w:rFonts w:hint="default" w:ascii="Times New Roman" w:hAnsi="Times New Roman" w:cs="Times New Roman"/>
                <w:color w:val="auto"/>
                <w:kern w:val="0"/>
                <w:sz w:val="21"/>
                <w:szCs w:val="21"/>
                <w:highlight w:val="none"/>
              </w:rPr>
            </w:pPr>
            <w:r>
              <w:rPr>
                <w:rFonts w:hint="default" w:ascii="Times New Roman" w:hAnsi="Times New Roman" w:cs="Times New Roman"/>
                <w:color w:val="auto"/>
                <w:kern w:val="0"/>
                <w:sz w:val="21"/>
                <w:szCs w:val="21"/>
                <w:highlight w:val="none"/>
              </w:rPr>
              <w:t>一、林地</w:t>
            </w:r>
          </w:p>
        </w:tc>
        <w:tc>
          <w:tcPr>
            <w:tcW w:w="663" w:type="pct"/>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default" w:ascii="Times New Roman" w:hAnsi="Times New Roman" w:cs="Times New Roman"/>
                <w:color w:val="auto"/>
                <w:kern w:val="0"/>
                <w:sz w:val="21"/>
                <w:szCs w:val="21"/>
                <w:highlight w:val="none"/>
              </w:rPr>
            </w:pPr>
            <w:r>
              <w:rPr>
                <w:rFonts w:hint="default" w:ascii="Times New Roman" w:hAnsi="Times New Roman" w:cs="Times New Roman"/>
                <w:color w:val="auto"/>
                <w:kern w:val="0"/>
                <w:sz w:val="21"/>
                <w:szCs w:val="21"/>
                <w:highlight w:val="none"/>
              </w:rPr>
              <w:t xml:space="preserve">亩 </w:t>
            </w:r>
          </w:p>
        </w:tc>
        <w:tc>
          <w:tcPr>
            <w:tcW w:w="1020" w:type="pct"/>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default" w:ascii="Times New Roman" w:hAnsi="Times New Roman" w:cs="Times New Roman"/>
                <w:color w:val="auto"/>
                <w:kern w:val="0"/>
                <w:sz w:val="21"/>
                <w:szCs w:val="21"/>
                <w:highlight w:val="none"/>
              </w:rPr>
            </w:pPr>
            <w:r>
              <w:rPr>
                <w:rFonts w:hint="default" w:ascii="Times New Roman" w:hAnsi="Times New Roman" w:cs="Times New Roman"/>
                <w:color w:val="auto"/>
                <w:kern w:val="0"/>
                <w:sz w:val="21"/>
                <w:szCs w:val="21"/>
                <w:highlight w:val="none"/>
              </w:rPr>
              <w:t>　</w:t>
            </w:r>
          </w:p>
        </w:tc>
        <w:tc>
          <w:tcPr>
            <w:tcW w:w="1020" w:type="pct"/>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default" w:ascii="Times New Roman" w:hAnsi="Times New Roman" w:cs="Times New Roman"/>
                <w:color w:val="auto"/>
                <w:kern w:val="0"/>
                <w:sz w:val="21"/>
                <w:szCs w:val="21"/>
                <w:highlight w:val="none"/>
              </w:rPr>
            </w:pPr>
            <w:r>
              <w:rPr>
                <w:rFonts w:hint="default" w:ascii="Times New Roman" w:hAnsi="Times New Roman" w:cs="Times New Roman"/>
                <w:color w:val="auto"/>
                <w:kern w:val="0"/>
                <w:sz w:val="21"/>
                <w:szCs w:val="21"/>
                <w:highlight w:val="none"/>
              </w:rPr>
              <w:t xml:space="preserve">1.45 </w:t>
            </w:r>
          </w:p>
        </w:tc>
        <w:tc>
          <w:tcPr>
            <w:tcW w:w="872" w:type="pct"/>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default" w:ascii="Times New Roman" w:hAnsi="Times New Roman" w:cs="Times New Roman"/>
                <w:color w:val="auto"/>
                <w:kern w:val="0"/>
                <w:sz w:val="21"/>
                <w:szCs w:val="21"/>
                <w:highlight w:val="none"/>
              </w:rPr>
            </w:pPr>
            <w:r>
              <w:rPr>
                <w:rFonts w:hint="default" w:ascii="Times New Roman" w:hAnsi="Times New Roman" w:cs="Times New Roman"/>
                <w:color w:val="auto"/>
                <w:kern w:val="0"/>
                <w:sz w:val="21"/>
                <w:szCs w:val="21"/>
                <w:highlight w:val="none"/>
              </w:rPr>
              <w:t xml:space="preserve">1.45 </w:t>
            </w:r>
          </w:p>
        </w:tc>
      </w:tr>
      <w:tr>
        <w:tblPrEx>
          <w:tblCellMar>
            <w:top w:w="0" w:type="dxa"/>
            <w:left w:w="108" w:type="dxa"/>
            <w:bottom w:w="0" w:type="dxa"/>
            <w:right w:w="108" w:type="dxa"/>
          </w:tblCellMar>
        </w:tblPrEx>
        <w:trPr>
          <w:trHeight w:val="285" w:hRule="atLeast"/>
        </w:trPr>
        <w:tc>
          <w:tcPr>
            <w:tcW w:w="1425" w:type="pct"/>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default" w:ascii="Times New Roman" w:hAnsi="Times New Roman" w:cs="Times New Roman"/>
                <w:color w:val="auto"/>
                <w:kern w:val="0"/>
                <w:sz w:val="21"/>
                <w:szCs w:val="21"/>
                <w:highlight w:val="none"/>
              </w:rPr>
            </w:pPr>
            <w:r>
              <w:rPr>
                <w:rFonts w:hint="default" w:ascii="Times New Roman" w:hAnsi="Times New Roman" w:cs="Times New Roman"/>
                <w:color w:val="auto"/>
                <w:kern w:val="0"/>
                <w:sz w:val="21"/>
                <w:szCs w:val="21"/>
                <w:highlight w:val="none"/>
              </w:rPr>
              <w:t xml:space="preserve">    1、杂树</w:t>
            </w:r>
          </w:p>
        </w:tc>
        <w:tc>
          <w:tcPr>
            <w:tcW w:w="663" w:type="pct"/>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default" w:ascii="Times New Roman" w:hAnsi="Times New Roman" w:cs="Times New Roman"/>
                <w:color w:val="auto"/>
                <w:kern w:val="0"/>
                <w:sz w:val="21"/>
                <w:szCs w:val="21"/>
                <w:highlight w:val="none"/>
              </w:rPr>
            </w:pPr>
            <w:r>
              <w:rPr>
                <w:rFonts w:hint="default" w:ascii="Times New Roman" w:hAnsi="Times New Roman" w:cs="Times New Roman"/>
                <w:color w:val="auto"/>
                <w:kern w:val="0"/>
                <w:sz w:val="21"/>
                <w:szCs w:val="21"/>
                <w:highlight w:val="none"/>
              </w:rPr>
              <w:t xml:space="preserve">亩 </w:t>
            </w:r>
          </w:p>
        </w:tc>
        <w:tc>
          <w:tcPr>
            <w:tcW w:w="1020" w:type="pct"/>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default" w:ascii="Times New Roman" w:hAnsi="Times New Roman" w:cs="Times New Roman"/>
                <w:color w:val="auto"/>
                <w:kern w:val="0"/>
                <w:sz w:val="21"/>
                <w:szCs w:val="21"/>
                <w:highlight w:val="none"/>
              </w:rPr>
            </w:pPr>
            <w:r>
              <w:rPr>
                <w:rFonts w:hint="default" w:ascii="Times New Roman" w:hAnsi="Times New Roman" w:cs="Times New Roman"/>
                <w:color w:val="auto"/>
                <w:kern w:val="0"/>
                <w:sz w:val="21"/>
                <w:szCs w:val="21"/>
                <w:highlight w:val="none"/>
              </w:rPr>
              <w:t>　</w:t>
            </w:r>
          </w:p>
        </w:tc>
        <w:tc>
          <w:tcPr>
            <w:tcW w:w="1020" w:type="pct"/>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default" w:ascii="Times New Roman" w:hAnsi="Times New Roman" w:cs="Times New Roman"/>
                <w:color w:val="auto"/>
                <w:kern w:val="0"/>
                <w:sz w:val="21"/>
                <w:szCs w:val="21"/>
                <w:highlight w:val="none"/>
              </w:rPr>
            </w:pPr>
            <w:r>
              <w:rPr>
                <w:rFonts w:hint="default" w:ascii="Times New Roman" w:hAnsi="Times New Roman" w:cs="Times New Roman"/>
                <w:color w:val="auto"/>
                <w:kern w:val="0"/>
                <w:sz w:val="21"/>
                <w:szCs w:val="21"/>
                <w:highlight w:val="none"/>
              </w:rPr>
              <w:t xml:space="preserve">1.45 </w:t>
            </w:r>
          </w:p>
        </w:tc>
        <w:tc>
          <w:tcPr>
            <w:tcW w:w="872" w:type="pct"/>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default" w:ascii="Times New Roman" w:hAnsi="Times New Roman" w:cs="Times New Roman"/>
                <w:color w:val="auto"/>
                <w:kern w:val="0"/>
                <w:sz w:val="21"/>
                <w:szCs w:val="21"/>
                <w:highlight w:val="none"/>
              </w:rPr>
            </w:pPr>
            <w:r>
              <w:rPr>
                <w:rFonts w:hint="default" w:ascii="Times New Roman" w:hAnsi="Times New Roman" w:cs="Times New Roman"/>
                <w:color w:val="auto"/>
                <w:kern w:val="0"/>
                <w:sz w:val="21"/>
                <w:szCs w:val="21"/>
                <w:highlight w:val="none"/>
              </w:rPr>
              <w:t xml:space="preserve">1.45 </w:t>
            </w:r>
          </w:p>
        </w:tc>
      </w:tr>
      <w:tr>
        <w:tblPrEx>
          <w:tblCellMar>
            <w:top w:w="0" w:type="dxa"/>
            <w:left w:w="108" w:type="dxa"/>
            <w:bottom w:w="0" w:type="dxa"/>
            <w:right w:w="108" w:type="dxa"/>
          </w:tblCellMar>
        </w:tblPrEx>
        <w:trPr>
          <w:trHeight w:val="285" w:hRule="atLeast"/>
        </w:trPr>
        <w:tc>
          <w:tcPr>
            <w:tcW w:w="1425" w:type="pct"/>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default" w:ascii="Times New Roman" w:hAnsi="Times New Roman" w:cs="Times New Roman"/>
                <w:color w:val="auto"/>
                <w:kern w:val="0"/>
                <w:sz w:val="21"/>
                <w:szCs w:val="21"/>
                <w:highlight w:val="none"/>
              </w:rPr>
            </w:pPr>
            <w:r>
              <w:rPr>
                <w:rFonts w:hint="default" w:ascii="Times New Roman" w:hAnsi="Times New Roman" w:cs="Times New Roman"/>
                <w:color w:val="auto"/>
                <w:kern w:val="0"/>
                <w:sz w:val="21"/>
                <w:szCs w:val="21"/>
                <w:highlight w:val="none"/>
              </w:rPr>
              <w:t>二、其他土地</w:t>
            </w:r>
          </w:p>
        </w:tc>
        <w:tc>
          <w:tcPr>
            <w:tcW w:w="663" w:type="pct"/>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default" w:ascii="Times New Roman" w:hAnsi="Times New Roman" w:cs="Times New Roman"/>
                <w:color w:val="auto"/>
                <w:kern w:val="0"/>
                <w:sz w:val="21"/>
                <w:szCs w:val="21"/>
                <w:highlight w:val="none"/>
              </w:rPr>
            </w:pPr>
            <w:r>
              <w:rPr>
                <w:rFonts w:hint="default" w:ascii="Times New Roman" w:hAnsi="Times New Roman" w:cs="Times New Roman"/>
                <w:color w:val="auto"/>
                <w:kern w:val="0"/>
                <w:sz w:val="21"/>
                <w:szCs w:val="21"/>
                <w:highlight w:val="none"/>
              </w:rPr>
              <w:t xml:space="preserve">亩 </w:t>
            </w:r>
          </w:p>
        </w:tc>
        <w:tc>
          <w:tcPr>
            <w:tcW w:w="1020" w:type="pct"/>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default" w:ascii="Times New Roman" w:hAnsi="Times New Roman" w:cs="Times New Roman"/>
                <w:color w:val="auto"/>
                <w:kern w:val="0"/>
                <w:sz w:val="21"/>
                <w:szCs w:val="21"/>
                <w:highlight w:val="none"/>
              </w:rPr>
            </w:pPr>
            <w:r>
              <w:rPr>
                <w:rFonts w:hint="default" w:ascii="Times New Roman" w:hAnsi="Times New Roman" w:cs="Times New Roman"/>
                <w:color w:val="auto"/>
                <w:kern w:val="0"/>
                <w:sz w:val="21"/>
                <w:szCs w:val="21"/>
                <w:highlight w:val="none"/>
              </w:rPr>
              <w:t xml:space="preserve">0.90 </w:t>
            </w:r>
          </w:p>
        </w:tc>
        <w:tc>
          <w:tcPr>
            <w:tcW w:w="1020" w:type="pct"/>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default" w:ascii="Times New Roman" w:hAnsi="Times New Roman" w:cs="Times New Roman"/>
                <w:color w:val="auto"/>
                <w:kern w:val="0"/>
                <w:sz w:val="21"/>
                <w:szCs w:val="21"/>
                <w:highlight w:val="none"/>
              </w:rPr>
            </w:pPr>
            <w:r>
              <w:rPr>
                <w:rFonts w:hint="default" w:ascii="Times New Roman" w:hAnsi="Times New Roman" w:cs="Times New Roman"/>
                <w:color w:val="auto"/>
                <w:kern w:val="0"/>
                <w:sz w:val="21"/>
                <w:szCs w:val="21"/>
                <w:highlight w:val="none"/>
              </w:rPr>
              <w:t>　</w:t>
            </w:r>
          </w:p>
        </w:tc>
        <w:tc>
          <w:tcPr>
            <w:tcW w:w="872" w:type="pct"/>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default" w:ascii="Times New Roman" w:hAnsi="Times New Roman" w:cs="Times New Roman"/>
                <w:color w:val="auto"/>
                <w:kern w:val="0"/>
                <w:sz w:val="21"/>
                <w:szCs w:val="21"/>
                <w:highlight w:val="none"/>
              </w:rPr>
            </w:pPr>
            <w:r>
              <w:rPr>
                <w:rFonts w:hint="default" w:ascii="Times New Roman" w:hAnsi="Times New Roman" w:cs="Times New Roman"/>
                <w:color w:val="auto"/>
                <w:kern w:val="0"/>
                <w:sz w:val="21"/>
                <w:szCs w:val="21"/>
                <w:highlight w:val="none"/>
              </w:rPr>
              <w:t xml:space="preserve">0.90 </w:t>
            </w:r>
          </w:p>
        </w:tc>
      </w:tr>
      <w:tr>
        <w:tblPrEx>
          <w:tblCellMar>
            <w:top w:w="0" w:type="dxa"/>
            <w:left w:w="108" w:type="dxa"/>
            <w:bottom w:w="0" w:type="dxa"/>
            <w:right w:w="108" w:type="dxa"/>
          </w:tblCellMar>
        </w:tblPrEx>
        <w:trPr>
          <w:trHeight w:val="285" w:hRule="atLeast"/>
        </w:trPr>
        <w:tc>
          <w:tcPr>
            <w:tcW w:w="1425" w:type="pct"/>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default" w:ascii="Times New Roman" w:hAnsi="Times New Roman" w:cs="Times New Roman"/>
                <w:color w:val="auto"/>
                <w:kern w:val="0"/>
                <w:sz w:val="21"/>
                <w:szCs w:val="21"/>
                <w:highlight w:val="none"/>
              </w:rPr>
            </w:pPr>
            <w:r>
              <w:rPr>
                <w:rFonts w:hint="default" w:ascii="Times New Roman" w:hAnsi="Times New Roman" w:cs="Times New Roman"/>
                <w:color w:val="auto"/>
                <w:kern w:val="0"/>
                <w:sz w:val="21"/>
                <w:szCs w:val="21"/>
                <w:highlight w:val="none"/>
              </w:rPr>
              <w:t xml:space="preserve">    1、空闲地</w:t>
            </w:r>
          </w:p>
        </w:tc>
        <w:tc>
          <w:tcPr>
            <w:tcW w:w="663" w:type="pct"/>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default" w:ascii="Times New Roman" w:hAnsi="Times New Roman" w:cs="Times New Roman"/>
                <w:color w:val="auto"/>
                <w:kern w:val="0"/>
                <w:sz w:val="21"/>
                <w:szCs w:val="21"/>
                <w:highlight w:val="none"/>
              </w:rPr>
            </w:pPr>
            <w:r>
              <w:rPr>
                <w:rFonts w:hint="default" w:ascii="Times New Roman" w:hAnsi="Times New Roman" w:cs="Times New Roman"/>
                <w:color w:val="auto"/>
                <w:kern w:val="0"/>
                <w:sz w:val="21"/>
                <w:szCs w:val="21"/>
                <w:highlight w:val="none"/>
              </w:rPr>
              <w:t xml:space="preserve">亩 </w:t>
            </w:r>
          </w:p>
        </w:tc>
        <w:tc>
          <w:tcPr>
            <w:tcW w:w="1020" w:type="pct"/>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default" w:ascii="Times New Roman" w:hAnsi="Times New Roman" w:cs="Times New Roman"/>
                <w:color w:val="auto"/>
                <w:kern w:val="0"/>
                <w:sz w:val="21"/>
                <w:szCs w:val="21"/>
                <w:highlight w:val="none"/>
              </w:rPr>
            </w:pPr>
            <w:r>
              <w:rPr>
                <w:rFonts w:hint="default" w:ascii="Times New Roman" w:hAnsi="Times New Roman" w:cs="Times New Roman"/>
                <w:color w:val="auto"/>
                <w:kern w:val="0"/>
                <w:sz w:val="21"/>
                <w:szCs w:val="21"/>
                <w:highlight w:val="none"/>
              </w:rPr>
              <w:t xml:space="preserve">0.90 </w:t>
            </w:r>
          </w:p>
        </w:tc>
        <w:tc>
          <w:tcPr>
            <w:tcW w:w="1020" w:type="pct"/>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default" w:ascii="Times New Roman" w:hAnsi="Times New Roman" w:cs="Times New Roman"/>
                <w:color w:val="auto"/>
                <w:kern w:val="0"/>
                <w:sz w:val="21"/>
                <w:szCs w:val="21"/>
                <w:highlight w:val="none"/>
              </w:rPr>
            </w:pPr>
            <w:r>
              <w:rPr>
                <w:rFonts w:hint="default" w:ascii="Times New Roman" w:hAnsi="Times New Roman" w:cs="Times New Roman"/>
                <w:color w:val="auto"/>
                <w:kern w:val="0"/>
                <w:sz w:val="21"/>
                <w:szCs w:val="21"/>
                <w:highlight w:val="none"/>
              </w:rPr>
              <w:t>　</w:t>
            </w:r>
          </w:p>
        </w:tc>
        <w:tc>
          <w:tcPr>
            <w:tcW w:w="872" w:type="pct"/>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default" w:ascii="Times New Roman" w:hAnsi="Times New Roman" w:cs="Times New Roman"/>
                <w:color w:val="auto"/>
                <w:kern w:val="0"/>
                <w:sz w:val="21"/>
                <w:szCs w:val="21"/>
                <w:highlight w:val="none"/>
              </w:rPr>
            </w:pPr>
            <w:r>
              <w:rPr>
                <w:rFonts w:hint="default" w:ascii="Times New Roman" w:hAnsi="Times New Roman" w:cs="Times New Roman"/>
                <w:color w:val="auto"/>
                <w:kern w:val="0"/>
                <w:sz w:val="21"/>
                <w:szCs w:val="21"/>
                <w:highlight w:val="none"/>
              </w:rPr>
              <w:t xml:space="preserve">0.90 </w:t>
            </w:r>
          </w:p>
        </w:tc>
      </w:tr>
    </w:tbl>
    <w:p>
      <w:pPr>
        <w:pStyle w:val="5"/>
        <w:bidi w:val="0"/>
        <w:rPr>
          <w:rFonts w:eastAsia="黑体"/>
          <w:color w:val="auto"/>
          <w:sz w:val="24"/>
          <w:highlight w:val="none"/>
        </w:rPr>
      </w:pPr>
      <w:r>
        <w:rPr>
          <w:rFonts w:hint="eastAsia"/>
          <w:b/>
          <w:color w:val="auto"/>
          <w:sz w:val="24"/>
          <w:highlight w:val="none"/>
          <w:lang w:val="en-US" w:eastAsia="zh-CN"/>
        </w:rPr>
        <w:t>1.8.3</w:t>
      </w:r>
      <w:r>
        <w:rPr>
          <w:rFonts w:eastAsia="黑体"/>
          <w:color w:val="auto"/>
          <w:sz w:val="24"/>
          <w:highlight w:val="none"/>
        </w:rPr>
        <w:t>农村移民安置</w:t>
      </w:r>
      <w:bookmarkEnd w:id="67"/>
    </w:p>
    <w:p>
      <w:pPr>
        <w:bidi w:val="0"/>
        <w:rPr>
          <w:color w:val="auto"/>
          <w:highlight w:val="none"/>
        </w:rPr>
      </w:pPr>
      <w:r>
        <w:rPr>
          <w:color w:val="auto"/>
          <w:highlight w:val="none"/>
        </w:rPr>
        <w:t>工程建设不涉及房屋拆迁，不涉及人口搬迁安置。</w:t>
      </w:r>
    </w:p>
    <w:p>
      <w:pPr>
        <w:bidi w:val="0"/>
        <w:rPr>
          <w:color w:val="auto"/>
          <w:highlight w:val="none"/>
        </w:rPr>
      </w:pPr>
      <w:r>
        <w:rPr>
          <w:color w:val="auto"/>
          <w:highlight w:val="none"/>
        </w:rPr>
        <w:t>工程建设均属</w:t>
      </w:r>
      <w:r>
        <w:rPr>
          <w:rFonts w:hint="eastAsia"/>
          <w:color w:val="auto"/>
          <w:highlight w:val="none"/>
        </w:rPr>
        <w:t>水库管理</w:t>
      </w:r>
      <w:r>
        <w:rPr>
          <w:color w:val="auto"/>
          <w:highlight w:val="none"/>
        </w:rPr>
        <w:t>用地范围</w:t>
      </w:r>
      <w:r>
        <w:rPr>
          <w:rFonts w:hint="eastAsia"/>
          <w:color w:val="auto"/>
          <w:highlight w:val="none"/>
        </w:rPr>
        <w:t>内进行</w:t>
      </w:r>
      <w:r>
        <w:rPr>
          <w:color w:val="auto"/>
          <w:highlight w:val="none"/>
        </w:rPr>
        <w:t>，不涉及新增永久占地，</w:t>
      </w:r>
      <w:r>
        <w:rPr>
          <w:rFonts w:hint="eastAsia"/>
          <w:color w:val="auto"/>
          <w:highlight w:val="none"/>
        </w:rPr>
        <w:t>不涉及生产安置。</w:t>
      </w:r>
    </w:p>
    <w:p>
      <w:pPr>
        <w:pStyle w:val="5"/>
        <w:bidi w:val="0"/>
        <w:rPr>
          <w:rFonts w:eastAsia="黑体"/>
          <w:color w:val="auto"/>
          <w:sz w:val="24"/>
          <w:highlight w:val="none"/>
        </w:rPr>
      </w:pPr>
      <w:bookmarkStart w:id="68" w:name="_Toc112073666"/>
      <w:r>
        <w:rPr>
          <w:rFonts w:hint="eastAsia"/>
          <w:b/>
          <w:color w:val="auto"/>
          <w:sz w:val="24"/>
          <w:highlight w:val="none"/>
          <w:lang w:val="en-US" w:eastAsia="zh-CN"/>
        </w:rPr>
        <w:t>1.8.4</w:t>
      </w:r>
      <w:r>
        <w:rPr>
          <w:rFonts w:eastAsia="黑体"/>
          <w:color w:val="auto"/>
          <w:sz w:val="24"/>
          <w:highlight w:val="none"/>
        </w:rPr>
        <w:t>土地复垦及耕地占补平衡</w:t>
      </w:r>
      <w:bookmarkEnd w:id="68"/>
    </w:p>
    <w:p>
      <w:pPr>
        <w:pStyle w:val="11"/>
        <w:tabs>
          <w:tab w:val="left" w:pos="0"/>
        </w:tabs>
        <w:overflowPunct w:val="0"/>
        <w:adjustRightInd w:val="0"/>
        <w:snapToGrid w:val="0"/>
        <w:spacing w:line="520" w:lineRule="atLeast"/>
        <w:ind w:firstLine="480" w:firstLineChars="200"/>
        <w:rPr>
          <w:rFonts w:hint="default" w:ascii="Times New Roman" w:hAnsi="Times New Roman" w:cs="Times New Roman"/>
          <w:color w:val="auto"/>
          <w:sz w:val="24"/>
          <w:highlight w:val="none"/>
        </w:rPr>
      </w:pPr>
      <w:r>
        <w:rPr>
          <w:rFonts w:hint="default" w:ascii="Times New Roman" w:hAnsi="Times New Roman" w:cs="Times New Roman"/>
          <w:color w:val="auto"/>
          <w:sz w:val="24"/>
          <w:szCs w:val="24"/>
          <w:highlight w:val="none"/>
        </w:rPr>
        <w:t>为满足工程建设需求，</w:t>
      </w:r>
      <w:r>
        <w:rPr>
          <w:rFonts w:hint="default" w:ascii="Times New Roman" w:hAnsi="Times New Roman" w:cs="Times New Roman"/>
          <w:color w:val="auto"/>
          <w:sz w:val="24"/>
          <w:highlight w:val="none"/>
        </w:rPr>
        <w:t>根据施工组织设计，按区域分，工程涉及临时用地总面积约为2.35亩，为施工营造布置用地、开挖临时用地。</w:t>
      </w:r>
    </w:p>
    <w:p>
      <w:pPr>
        <w:pStyle w:val="11"/>
        <w:tabs>
          <w:tab w:val="left" w:pos="0"/>
        </w:tabs>
        <w:overflowPunct w:val="0"/>
        <w:adjustRightInd w:val="0"/>
        <w:snapToGrid w:val="0"/>
        <w:spacing w:line="520" w:lineRule="atLeast"/>
        <w:ind w:firstLine="480" w:firstLineChars="200"/>
        <w:rPr>
          <w:rFonts w:hint="default" w:ascii="Times New Roman" w:hAnsi="Times New Roman" w:cs="Times New Roman"/>
          <w:b/>
          <w:color w:val="auto"/>
          <w:sz w:val="24"/>
          <w:highlight w:val="none"/>
        </w:rPr>
      </w:pPr>
      <w:r>
        <w:rPr>
          <w:rFonts w:hint="default" w:ascii="Times New Roman" w:hAnsi="Times New Roman" w:cs="Times New Roman"/>
          <w:snapToGrid w:val="0"/>
          <w:color w:val="auto"/>
          <w:kern w:val="0"/>
          <w:sz w:val="24"/>
          <w:highlight w:val="none"/>
        </w:rPr>
        <w:t>按地类分，</w:t>
      </w:r>
      <w:r>
        <w:rPr>
          <w:rFonts w:hint="default" w:ascii="Times New Roman" w:hAnsi="Times New Roman" w:cs="Times New Roman"/>
          <w:color w:val="auto"/>
          <w:sz w:val="24"/>
          <w:highlight w:val="none"/>
        </w:rPr>
        <w:t>工程涉及临时用地总面积约为2.35亩，</w:t>
      </w:r>
      <w:r>
        <w:rPr>
          <w:rFonts w:hint="default" w:ascii="Times New Roman" w:hAnsi="Times New Roman" w:cs="Times New Roman"/>
          <w:snapToGrid w:val="0"/>
          <w:color w:val="auto"/>
          <w:kern w:val="0"/>
          <w:sz w:val="24"/>
          <w:highlight w:val="none"/>
        </w:rPr>
        <w:t>其中林地1.45亩，空闲地0.9亩。</w:t>
      </w:r>
    </w:p>
    <w:p>
      <w:pPr>
        <w:bidi w:val="0"/>
        <w:rPr>
          <w:color w:val="auto"/>
          <w:highlight w:val="none"/>
        </w:rPr>
      </w:pPr>
      <w:r>
        <w:rPr>
          <w:rFonts w:hint="default" w:ascii="Times New Roman" w:hAnsi="Times New Roman" w:cs="Times New Roman"/>
          <w:color w:val="auto"/>
          <w:sz w:val="24"/>
          <w:highlight w:val="none"/>
        </w:rPr>
        <w:t>临时使用空地施工完后按原貌恢复，地表临时建筑拆除等已列入施工，林地恢复措施费已列入水保，不再计列其他复垦措施费。</w:t>
      </w:r>
    </w:p>
    <w:p>
      <w:pPr>
        <w:pStyle w:val="5"/>
        <w:bidi w:val="0"/>
        <w:rPr>
          <w:rFonts w:eastAsia="黑体"/>
          <w:color w:val="auto"/>
          <w:sz w:val="24"/>
          <w:highlight w:val="none"/>
        </w:rPr>
      </w:pPr>
      <w:bookmarkStart w:id="69" w:name="_Toc390157298"/>
      <w:bookmarkStart w:id="70" w:name="_Toc112073667"/>
      <w:r>
        <w:rPr>
          <w:rFonts w:hint="eastAsia"/>
          <w:b/>
          <w:color w:val="auto"/>
          <w:sz w:val="24"/>
          <w:highlight w:val="none"/>
          <w:lang w:val="en-US" w:eastAsia="zh-CN"/>
        </w:rPr>
        <w:t>1.8.5</w:t>
      </w:r>
      <w:r>
        <w:rPr>
          <w:rFonts w:eastAsia="黑体"/>
          <w:color w:val="auto"/>
          <w:sz w:val="24"/>
          <w:highlight w:val="none"/>
        </w:rPr>
        <w:t>专业项目处理</w:t>
      </w:r>
      <w:bookmarkEnd w:id="69"/>
      <w:bookmarkEnd w:id="70"/>
    </w:p>
    <w:p>
      <w:pPr>
        <w:adjustRightInd w:val="0"/>
        <w:snapToGrid w:val="0"/>
        <w:spacing w:line="500" w:lineRule="atLeast"/>
        <w:ind w:firstLine="480" w:firstLineChars="200"/>
        <w:rPr>
          <w:rFonts w:hint="eastAsia" w:eastAsia="黑体"/>
          <w:snapToGrid w:val="0"/>
          <w:color w:val="auto"/>
          <w:kern w:val="0"/>
          <w:sz w:val="24"/>
          <w:highlight w:val="none"/>
        </w:rPr>
      </w:pPr>
      <w:r>
        <w:rPr>
          <w:color w:val="auto"/>
          <w:sz w:val="24"/>
          <w:highlight w:val="none"/>
        </w:rPr>
        <w:t>根据实地调查，</w:t>
      </w:r>
      <w:r>
        <w:rPr>
          <w:rFonts w:hint="eastAsia"/>
          <w:color w:val="auto"/>
          <w:sz w:val="24"/>
          <w:highlight w:val="none"/>
        </w:rPr>
        <w:t>工程不涉及专业项目设施处理。</w:t>
      </w:r>
    </w:p>
    <w:p>
      <w:pPr>
        <w:pStyle w:val="5"/>
        <w:bidi w:val="0"/>
        <w:rPr>
          <w:color w:val="auto"/>
          <w:highlight w:val="none"/>
        </w:rPr>
      </w:pPr>
      <w:r>
        <w:rPr>
          <w:rFonts w:hint="eastAsia"/>
          <w:color w:val="auto"/>
          <w:highlight w:val="none"/>
          <w:lang w:val="en-US" w:eastAsia="zh-CN"/>
        </w:rPr>
        <w:t>1.8.6</w:t>
      </w:r>
      <w:r>
        <w:rPr>
          <w:color w:val="auto"/>
          <w:highlight w:val="none"/>
        </w:rPr>
        <w:t>征地补偿单价分析</w:t>
      </w:r>
    </w:p>
    <w:p>
      <w:pPr>
        <w:pStyle w:val="6"/>
        <w:bidi w:val="0"/>
        <w:rPr>
          <w:color w:val="auto"/>
          <w:highlight w:val="none"/>
        </w:rPr>
      </w:pPr>
      <w:r>
        <w:rPr>
          <w:rFonts w:hint="eastAsia"/>
          <w:color w:val="auto"/>
          <w:highlight w:val="none"/>
          <w:lang w:val="en-US" w:eastAsia="zh-CN"/>
        </w:rPr>
        <w:t>1.8.6.1</w:t>
      </w:r>
      <w:r>
        <w:rPr>
          <w:color w:val="auto"/>
          <w:highlight w:val="none"/>
        </w:rPr>
        <w:t>永久</w:t>
      </w:r>
      <w:r>
        <w:rPr>
          <w:rFonts w:hint="eastAsia"/>
          <w:color w:val="auto"/>
          <w:highlight w:val="none"/>
        </w:rPr>
        <w:t>占地青苗</w:t>
      </w:r>
      <w:r>
        <w:rPr>
          <w:color w:val="auto"/>
          <w:highlight w:val="none"/>
        </w:rPr>
        <w:t>补偿单价分析</w:t>
      </w:r>
    </w:p>
    <w:p>
      <w:pPr>
        <w:adjustRightInd w:val="0"/>
        <w:snapToGrid w:val="0"/>
        <w:spacing w:line="500" w:lineRule="atLeast"/>
        <w:ind w:firstLine="480" w:firstLineChars="200"/>
        <w:rPr>
          <w:snapToGrid w:val="0"/>
          <w:color w:val="auto"/>
          <w:kern w:val="0"/>
          <w:sz w:val="24"/>
          <w:highlight w:val="none"/>
        </w:rPr>
      </w:pPr>
      <w:r>
        <w:rPr>
          <w:snapToGrid w:val="0"/>
          <w:color w:val="auto"/>
          <w:kern w:val="0"/>
          <w:sz w:val="24"/>
          <w:highlight w:val="none"/>
        </w:rPr>
        <w:t>依据对当地林地生长情况及产量、价格调查情况分析计算</w:t>
      </w:r>
      <w:r>
        <w:rPr>
          <w:bCs/>
          <w:snapToGrid w:val="0"/>
          <w:color w:val="auto"/>
          <w:kern w:val="0"/>
          <w:sz w:val="24"/>
          <w:highlight w:val="none"/>
        </w:rPr>
        <w:t>，一代林亩产量5m</w:t>
      </w:r>
      <w:r>
        <w:rPr>
          <w:bCs/>
          <w:snapToGrid w:val="0"/>
          <w:color w:val="auto"/>
          <w:kern w:val="0"/>
          <w:sz w:val="24"/>
          <w:highlight w:val="none"/>
          <w:vertAlign w:val="superscript"/>
        </w:rPr>
        <w:t>3</w:t>
      </w:r>
      <w:r>
        <w:rPr>
          <w:bCs/>
          <w:snapToGrid w:val="0"/>
          <w:color w:val="auto"/>
          <w:kern w:val="0"/>
          <w:sz w:val="24"/>
          <w:highlight w:val="none"/>
        </w:rPr>
        <w:t>，生长周期为12年，600元/m</w:t>
      </w:r>
      <w:r>
        <w:rPr>
          <w:bCs/>
          <w:snapToGrid w:val="0"/>
          <w:color w:val="auto"/>
          <w:kern w:val="0"/>
          <w:sz w:val="24"/>
          <w:highlight w:val="none"/>
          <w:vertAlign w:val="superscript"/>
        </w:rPr>
        <w:t>3</w:t>
      </w:r>
      <w:r>
        <w:rPr>
          <w:bCs/>
          <w:snapToGrid w:val="0"/>
          <w:color w:val="auto"/>
          <w:kern w:val="0"/>
          <w:sz w:val="24"/>
          <w:highlight w:val="none"/>
        </w:rPr>
        <w:t>，</w:t>
      </w:r>
      <w:r>
        <w:rPr>
          <w:snapToGrid w:val="0"/>
          <w:color w:val="auto"/>
          <w:kern w:val="0"/>
          <w:sz w:val="24"/>
          <w:highlight w:val="none"/>
        </w:rPr>
        <w:t>林地</w:t>
      </w:r>
      <w:r>
        <w:rPr>
          <w:rFonts w:hint="eastAsia"/>
          <w:snapToGrid w:val="0"/>
          <w:color w:val="auto"/>
          <w:kern w:val="0"/>
          <w:sz w:val="24"/>
          <w:highlight w:val="none"/>
        </w:rPr>
        <w:t>青苗</w:t>
      </w:r>
      <w:r>
        <w:rPr>
          <w:snapToGrid w:val="0"/>
          <w:color w:val="auto"/>
          <w:kern w:val="0"/>
          <w:sz w:val="24"/>
          <w:highlight w:val="none"/>
        </w:rPr>
        <w:t>单价分析见表</w:t>
      </w:r>
      <w:r>
        <w:rPr>
          <w:rFonts w:hint="eastAsia"/>
          <w:snapToGrid w:val="0"/>
          <w:color w:val="auto"/>
          <w:kern w:val="0"/>
          <w:sz w:val="24"/>
          <w:highlight w:val="none"/>
          <w:lang w:val="en-US" w:eastAsia="zh-CN"/>
        </w:rPr>
        <w:t>1.8</w:t>
      </w:r>
      <w:r>
        <w:rPr>
          <w:snapToGrid w:val="0"/>
          <w:color w:val="auto"/>
          <w:kern w:val="0"/>
          <w:sz w:val="24"/>
          <w:highlight w:val="none"/>
        </w:rPr>
        <w:t>-</w:t>
      </w:r>
      <w:r>
        <w:rPr>
          <w:rFonts w:hint="eastAsia"/>
          <w:snapToGrid w:val="0"/>
          <w:color w:val="auto"/>
          <w:kern w:val="0"/>
          <w:sz w:val="24"/>
          <w:highlight w:val="none"/>
        </w:rPr>
        <w:t>3</w:t>
      </w:r>
      <w:r>
        <w:rPr>
          <w:snapToGrid w:val="0"/>
          <w:color w:val="auto"/>
          <w:kern w:val="0"/>
          <w:sz w:val="24"/>
          <w:highlight w:val="none"/>
        </w:rPr>
        <w:t>。</w:t>
      </w:r>
    </w:p>
    <w:p>
      <w:pPr>
        <w:adjustRightInd w:val="0"/>
        <w:snapToGrid w:val="0"/>
        <w:spacing w:line="500" w:lineRule="atLeast"/>
        <w:jc w:val="center"/>
        <w:rPr>
          <w:rFonts w:hint="eastAsia" w:asciiTheme="minorEastAsia" w:hAnsiTheme="minorEastAsia" w:eastAsiaTheme="minorEastAsia" w:cstheme="minorEastAsia"/>
          <w:snapToGrid w:val="0"/>
          <w:color w:val="auto"/>
          <w:kern w:val="0"/>
          <w:sz w:val="24"/>
          <w:szCs w:val="24"/>
          <w:highlight w:val="none"/>
        </w:rPr>
      </w:pPr>
      <w:bookmarkStart w:id="71" w:name="OLE_LINK8"/>
      <w:r>
        <w:rPr>
          <w:rFonts w:hint="eastAsia" w:asciiTheme="minorEastAsia" w:hAnsiTheme="minorEastAsia" w:eastAsiaTheme="minorEastAsia" w:cstheme="minorEastAsia"/>
          <w:color w:val="auto"/>
          <w:sz w:val="24"/>
          <w:szCs w:val="24"/>
          <w:highlight w:val="none"/>
        </w:rPr>
        <w:t>表</w:t>
      </w:r>
      <w:r>
        <w:rPr>
          <w:rFonts w:hint="eastAsia" w:ascii="Times New Roman" w:hAnsi="Times New Roman" w:eastAsia="宋体" w:cs="Times New Roman"/>
          <w:bCs/>
          <w:snapToGrid w:val="0"/>
          <w:color w:val="auto"/>
          <w:kern w:val="0"/>
          <w:sz w:val="24"/>
          <w:highlight w:val="none"/>
          <w:lang w:val="en-US" w:eastAsia="zh-CN"/>
        </w:rPr>
        <w:t>1.8</w:t>
      </w:r>
      <w:r>
        <w:rPr>
          <w:rFonts w:hint="eastAsia" w:ascii="Times New Roman" w:hAnsi="Times New Roman" w:eastAsia="宋体" w:cs="Times New Roman"/>
          <w:bCs/>
          <w:snapToGrid w:val="0"/>
          <w:color w:val="auto"/>
          <w:kern w:val="0"/>
          <w:sz w:val="24"/>
          <w:highlight w:val="none"/>
        </w:rPr>
        <w:t xml:space="preserve">-3  </w:t>
      </w:r>
      <w:r>
        <w:rPr>
          <w:rFonts w:hint="eastAsia" w:asciiTheme="minorEastAsia" w:hAnsiTheme="minorEastAsia" w:eastAsiaTheme="minorEastAsia" w:cstheme="minorEastAsia"/>
          <w:snapToGrid w:val="0"/>
          <w:color w:val="auto"/>
          <w:kern w:val="0"/>
          <w:sz w:val="24"/>
          <w:szCs w:val="24"/>
          <w:highlight w:val="none"/>
        </w:rPr>
        <w:t>林地青苗单价分析表</w:t>
      </w:r>
    </w:p>
    <w:tbl>
      <w:tblPr>
        <w:tblStyle w:val="2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1743"/>
        <w:gridCol w:w="1595"/>
        <w:gridCol w:w="2512"/>
        <w:gridCol w:w="25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95" w:hRule="atLeast"/>
          <w:jc w:val="center"/>
        </w:trPr>
        <w:tc>
          <w:tcPr>
            <w:tcW w:w="1042" w:type="pct"/>
            <w:noWrap w:val="0"/>
            <w:vAlign w:val="center"/>
          </w:tcPr>
          <w:p>
            <w:pPr>
              <w:keepNext w:val="0"/>
              <w:keepLines w:val="0"/>
              <w:pageBreakBefore w:val="0"/>
              <w:widowControl/>
              <w:kinsoku/>
              <w:wordWrap/>
              <w:overflowPunct/>
              <w:topLinePunct w:val="0"/>
              <w:autoSpaceDE/>
              <w:autoSpaceDN/>
              <w:bidi w:val="0"/>
              <w:adjustRightInd/>
              <w:snapToGrid/>
              <w:spacing w:line="0" w:lineRule="atLeast"/>
              <w:ind w:firstLine="0" w:firstLineChars="0"/>
              <w:jc w:val="center"/>
              <w:textAlignment w:val="auto"/>
              <w:rPr>
                <w:rFonts w:hint="default" w:ascii="Times New Roman" w:hAnsi="Times New Roman" w:cs="Times New Roman"/>
                <w:color w:val="auto"/>
                <w:kern w:val="0"/>
                <w:sz w:val="21"/>
                <w:szCs w:val="18"/>
                <w:highlight w:val="none"/>
              </w:rPr>
            </w:pPr>
            <w:r>
              <w:rPr>
                <w:rFonts w:hint="default" w:ascii="Times New Roman" w:hAnsi="Times New Roman" w:cs="Times New Roman"/>
                <w:color w:val="auto"/>
                <w:kern w:val="0"/>
                <w:sz w:val="21"/>
                <w:szCs w:val="18"/>
                <w:highlight w:val="none"/>
              </w:rPr>
              <w:t>项目</w:t>
            </w:r>
          </w:p>
        </w:tc>
        <w:tc>
          <w:tcPr>
            <w:tcW w:w="954" w:type="pct"/>
            <w:noWrap w:val="0"/>
            <w:vAlign w:val="center"/>
          </w:tcPr>
          <w:p>
            <w:pPr>
              <w:keepNext w:val="0"/>
              <w:keepLines w:val="0"/>
              <w:pageBreakBefore w:val="0"/>
              <w:widowControl/>
              <w:kinsoku/>
              <w:wordWrap/>
              <w:overflowPunct/>
              <w:topLinePunct w:val="0"/>
              <w:autoSpaceDE/>
              <w:autoSpaceDN/>
              <w:bidi w:val="0"/>
              <w:adjustRightInd/>
              <w:snapToGrid/>
              <w:spacing w:line="0" w:lineRule="atLeast"/>
              <w:ind w:firstLine="0" w:firstLineChars="0"/>
              <w:jc w:val="center"/>
              <w:textAlignment w:val="auto"/>
              <w:rPr>
                <w:rFonts w:hint="default" w:ascii="Times New Roman" w:hAnsi="Times New Roman" w:cs="Times New Roman"/>
                <w:snapToGrid w:val="0"/>
                <w:color w:val="auto"/>
                <w:kern w:val="0"/>
                <w:sz w:val="21"/>
                <w:szCs w:val="21"/>
                <w:highlight w:val="none"/>
              </w:rPr>
            </w:pPr>
            <w:r>
              <w:rPr>
                <w:rFonts w:hint="default" w:ascii="Times New Roman" w:hAnsi="Times New Roman" w:cs="Times New Roman"/>
                <w:snapToGrid w:val="0"/>
                <w:color w:val="auto"/>
                <w:kern w:val="0"/>
                <w:sz w:val="21"/>
                <w:szCs w:val="21"/>
                <w:highlight w:val="none"/>
              </w:rPr>
              <w:t>区片四</w:t>
            </w:r>
          </w:p>
          <w:p>
            <w:pPr>
              <w:keepNext w:val="0"/>
              <w:keepLines w:val="0"/>
              <w:pageBreakBefore w:val="0"/>
              <w:widowControl/>
              <w:kinsoku/>
              <w:wordWrap/>
              <w:overflowPunct/>
              <w:topLinePunct w:val="0"/>
              <w:autoSpaceDE/>
              <w:autoSpaceDN/>
              <w:bidi w:val="0"/>
              <w:adjustRightInd/>
              <w:snapToGrid/>
              <w:spacing w:line="0" w:lineRule="atLeast"/>
              <w:ind w:firstLine="0" w:firstLineChars="0"/>
              <w:jc w:val="center"/>
              <w:textAlignment w:val="auto"/>
              <w:rPr>
                <w:rFonts w:hint="default" w:ascii="Times New Roman" w:hAnsi="Times New Roman" w:cs="Times New Roman"/>
                <w:color w:val="auto"/>
                <w:kern w:val="0"/>
                <w:sz w:val="21"/>
                <w:szCs w:val="18"/>
                <w:highlight w:val="none"/>
              </w:rPr>
            </w:pPr>
            <w:r>
              <w:rPr>
                <w:rFonts w:hint="default" w:ascii="Times New Roman" w:hAnsi="Times New Roman" w:cs="Times New Roman"/>
                <w:color w:val="auto"/>
                <w:kern w:val="0"/>
                <w:sz w:val="21"/>
                <w:szCs w:val="18"/>
                <w:highlight w:val="none"/>
              </w:rPr>
              <w:t>(元/亩)</w:t>
            </w:r>
          </w:p>
        </w:tc>
        <w:tc>
          <w:tcPr>
            <w:tcW w:w="1502" w:type="pct"/>
            <w:noWrap w:val="0"/>
            <w:vAlign w:val="center"/>
          </w:tcPr>
          <w:p>
            <w:pPr>
              <w:keepNext w:val="0"/>
              <w:keepLines w:val="0"/>
              <w:pageBreakBefore w:val="0"/>
              <w:widowControl/>
              <w:kinsoku/>
              <w:wordWrap/>
              <w:overflowPunct/>
              <w:topLinePunct w:val="0"/>
              <w:autoSpaceDE/>
              <w:autoSpaceDN/>
              <w:bidi w:val="0"/>
              <w:adjustRightInd/>
              <w:snapToGrid/>
              <w:spacing w:line="0" w:lineRule="atLeast"/>
              <w:ind w:firstLine="0" w:firstLineChars="0"/>
              <w:jc w:val="center"/>
              <w:textAlignment w:val="auto"/>
              <w:rPr>
                <w:rFonts w:hint="default" w:ascii="Times New Roman" w:hAnsi="Times New Roman" w:cs="Times New Roman"/>
                <w:color w:val="auto"/>
                <w:kern w:val="0"/>
                <w:sz w:val="21"/>
                <w:szCs w:val="18"/>
                <w:highlight w:val="none"/>
              </w:rPr>
            </w:pPr>
            <w:r>
              <w:rPr>
                <w:rFonts w:hint="default" w:ascii="Times New Roman" w:hAnsi="Times New Roman" w:cs="Times New Roman"/>
                <w:color w:val="auto"/>
                <w:kern w:val="0"/>
                <w:sz w:val="21"/>
                <w:szCs w:val="18"/>
                <w:highlight w:val="none"/>
              </w:rPr>
              <w:t>林木补偿</w:t>
            </w:r>
          </w:p>
          <w:p>
            <w:pPr>
              <w:keepNext w:val="0"/>
              <w:keepLines w:val="0"/>
              <w:pageBreakBefore w:val="0"/>
              <w:widowControl/>
              <w:kinsoku/>
              <w:wordWrap/>
              <w:overflowPunct/>
              <w:topLinePunct w:val="0"/>
              <w:autoSpaceDE/>
              <w:autoSpaceDN/>
              <w:bidi w:val="0"/>
              <w:adjustRightInd/>
              <w:snapToGrid/>
              <w:spacing w:line="0" w:lineRule="atLeast"/>
              <w:ind w:firstLine="0" w:firstLineChars="0"/>
              <w:jc w:val="center"/>
              <w:textAlignment w:val="auto"/>
              <w:rPr>
                <w:rFonts w:hint="default" w:ascii="Times New Roman" w:hAnsi="Times New Roman" w:cs="Times New Roman"/>
                <w:color w:val="auto"/>
                <w:kern w:val="0"/>
                <w:sz w:val="21"/>
                <w:szCs w:val="18"/>
                <w:highlight w:val="none"/>
              </w:rPr>
            </w:pPr>
            <w:r>
              <w:rPr>
                <w:rFonts w:hint="default" w:ascii="Times New Roman" w:hAnsi="Times New Roman" w:cs="Times New Roman"/>
                <w:color w:val="auto"/>
                <w:kern w:val="0"/>
                <w:sz w:val="21"/>
                <w:szCs w:val="18"/>
                <w:highlight w:val="none"/>
              </w:rPr>
              <w:t>(元/亩)</w:t>
            </w:r>
          </w:p>
        </w:tc>
        <w:tc>
          <w:tcPr>
            <w:tcW w:w="1502" w:type="pct"/>
            <w:noWrap w:val="0"/>
            <w:vAlign w:val="center"/>
          </w:tcPr>
          <w:p>
            <w:pPr>
              <w:keepNext w:val="0"/>
              <w:keepLines w:val="0"/>
              <w:pageBreakBefore w:val="0"/>
              <w:widowControl/>
              <w:kinsoku/>
              <w:wordWrap/>
              <w:overflowPunct/>
              <w:topLinePunct w:val="0"/>
              <w:autoSpaceDE/>
              <w:autoSpaceDN/>
              <w:bidi w:val="0"/>
              <w:adjustRightInd/>
              <w:snapToGrid/>
              <w:spacing w:line="0" w:lineRule="atLeast"/>
              <w:ind w:firstLine="0" w:firstLineChars="0"/>
              <w:jc w:val="center"/>
              <w:textAlignment w:val="auto"/>
              <w:rPr>
                <w:rFonts w:hint="default" w:ascii="Times New Roman" w:hAnsi="Times New Roman" w:cs="Times New Roman"/>
                <w:color w:val="auto"/>
                <w:kern w:val="0"/>
                <w:sz w:val="21"/>
                <w:szCs w:val="18"/>
                <w:highlight w:val="none"/>
              </w:rPr>
            </w:pPr>
            <w:r>
              <w:rPr>
                <w:rFonts w:hint="default" w:ascii="Times New Roman" w:hAnsi="Times New Roman" w:cs="Times New Roman"/>
                <w:color w:val="auto"/>
                <w:kern w:val="0"/>
                <w:sz w:val="21"/>
                <w:szCs w:val="18"/>
                <w:highlight w:val="none"/>
              </w:rPr>
              <w:t>综合补偿单价</w:t>
            </w:r>
          </w:p>
          <w:p>
            <w:pPr>
              <w:keepNext w:val="0"/>
              <w:keepLines w:val="0"/>
              <w:pageBreakBefore w:val="0"/>
              <w:widowControl/>
              <w:kinsoku/>
              <w:wordWrap/>
              <w:overflowPunct/>
              <w:topLinePunct w:val="0"/>
              <w:autoSpaceDE/>
              <w:autoSpaceDN/>
              <w:bidi w:val="0"/>
              <w:adjustRightInd/>
              <w:snapToGrid/>
              <w:spacing w:line="0" w:lineRule="atLeast"/>
              <w:ind w:firstLine="0" w:firstLineChars="0"/>
              <w:jc w:val="center"/>
              <w:textAlignment w:val="auto"/>
              <w:rPr>
                <w:rFonts w:hint="default" w:ascii="Times New Roman" w:hAnsi="Times New Roman" w:cs="Times New Roman"/>
                <w:color w:val="auto"/>
                <w:kern w:val="0"/>
                <w:sz w:val="21"/>
                <w:szCs w:val="18"/>
                <w:highlight w:val="none"/>
              </w:rPr>
            </w:pPr>
            <w:r>
              <w:rPr>
                <w:rFonts w:hint="default" w:ascii="Times New Roman" w:hAnsi="Times New Roman" w:cs="Times New Roman"/>
                <w:color w:val="auto"/>
                <w:kern w:val="0"/>
                <w:sz w:val="21"/>
                <w:szCs w:val="18"/>
                <w:highlight w:val="none"/>
              </w:rPr>
              <w:t>(元/亩)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42" w:type="pct"/>
            <w:noWrap w:val="0"/>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default" w:ascii="Times New Roman" w:hAnsi="Times New Roman" w:cs="Times New Roman"/>
                <w:color w:val="auto"/>
                <w:kern w:val="0"/>
                <w:sz w:val="21"/>
                <w:szCs w:val="18"/>
                <w:highlight w:val="none"/>
              </w:rPr>
            </w:pPr>
            <w:r>
              <w:rPr>
                <w:rFonts w:hint="default" w:ascii="Times New Roman" w:hAnsi="Times New Roman" w:cs="Times New Roman"/>
                <w:color w:val="auto"/>
                <w:kern w:val="0"/>
                <w:sz w:val="21"/>
                <w:szCs w:val="18"/>
                <w:highlight w:val="none"/>
              </w:rPr>
              <w:t>林地</w:t>
            </w:r>
          </w:p>
        </w:tc>
        <w:tc>
          <w:tcPr>
            <w:tcW w:w="954" w:type="pct"/>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default" w:ascii="Times New Roman" w:hAnsi="Times New Roman" w:cs="Times New Roman"/>
                <w:color w:val="auto"/>
                <w:kern w:val="0"/>
                <w:sz w:val="21"/>
                <w:szCs w:val="18"/>
                <w:highlight w:val="none"/>
              </w:rPr>
            </w:pPr>
            <w:r>
              <w:rPr>
                <w:rFonts w:hint="default" w:ascii="Times New Roman" w:hAnsi="Times New Roman" w:cs="Times New Roman"/>
                <w:color w:val="auto"/>
                <w:kern w:val="0"/>
                <w:sz w:val="21"/>
                <w:szCs w:val="18"/>
                <w:highlight w:val="none"/>
              </w:rPr>
              <w:t>10500</w:t>
            </w:r>
          </w:p>
        </w:tc>
        <w:tc>
          <w:tcPr>
            <w:tcW w:w="1502" w:type="pct"/>
            <w:noWrap w:val="0"/>
            <w:vAlign w:val="top"/>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default" w:ascii="Times New Roman" w:hAnsi="Times New Roman" w:cs="Times New Roman"/>
                <w:color w:val="auto"/>
                <w:kern w:val="0"/>
                <w:sz w:val="21"/>
                <w:szCs w:val="18"/>
                <w:highlight w:val="none"/>
              </w:rPr>
            </w:pPr>
            <w:r>
              <w:rPr>
                <w:rFonts w:hint="default" w:ascii="Times New Roman" w:hAnsi="Times New Roman" w:cs="Times New Roman"/>
                <w:color w:val="auto"/>
                <w:kern w:val="0"/>
                <w:sz w:val="21"/>
                <w:szCs w:val="18"/>
                <w:highlight w:val="none"/>
              </w:rPr>
              <w:t>3000</w:t>
            </w:r>
          </w:p>
        </w:tc>
        <w:tc>
          <w:tcPr>
            <w:tcW w:w="1502" w:type="pct"/>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default" w:ascii="Times New Roman" w:hAnsi="Times New Roman" w:cs="Times New Roman"/>
                <w:color w:val="auto"/>
                <w:kern w:val="0"/>
                <w:sz w:val="21"/>
                <w:szCs w:val="18"/>
                <w:highlight w:val="none"/>
              </w:rPr>
            </w:pPr>
            <w:r>
              <w:rPr>
                <w:rFonts w:hint="default" w:ascii="Times New Roman" w:hAnsi="Times New Roman" w:cs="Times New Roman"/>
                <w:color w:val="auto"/>
                <w:kern w:val="0"/>
                <w:sz w:val="21"/>
                <w:szCs w:val="18"/>
                <w:highlight w:val="none"/>
              </w:rPr>
              <w:t>13500</w:t>
            </w:r>
          </w:p>
        </w:tc>
      </w:tr>
      <w:bookmarkEnd w:id="71"/>
    </w:tbl>
    <w:p>
      <w:pPr>
        <w:pStyle w:val="6"/>
        <w:bidi w:val="0"/>
        <w:rPr>
          <w:color w:val="auto"/>
          <w:highlight w:val="none"/>
        </w:rPr>
      </w:pPr>
      <w:r>
        <w:rPr>
          <w:rFonts w:hint="eastAsia"/>
          <w:color w:val="auto"/>
          <w:highlight w:val="none"/>
          <w:lang w:val="en-US" w:eastAsia="zh-CN"/>
        </w:rPr>
        <w:t>1.8.6.2</w:t>
      </w:r>
      <w:r>
        <w:rPr>
          <w:color w:val="auto"/>
          <w:highlight w:val="none"/>
        </w:rPr>
        <w:t>临时征地补偿单价分析</w:t>
      </w:r>
    </w:p>
    <w:p>
      <w:pPr>
        <w:adjustRightInd w:val="0"/>
        <w:snapToGrid w:val="0"/>
        <w:spacing w:line="500" w:lineRule="atLeast"/>
        <w:ind w:firstLine="480" w:firstLineChars="200"/>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(1)  林地</w:t>
      </w:r>
    </w:p>
    <w:p>
      <w:pPr>
        <w:adjustRightInd w:val="0"/>
        <w:snapToGrid w:val="0"/>
        <w:spacing w:line="500" w:lineRule="atLeast"/>
        <w:ind w:firstLine="480" w:firstLineChars="200"/>
        <w:rPr>
          <w:rFonts w:hint="default" w:ascii="Times New Roman" w:hAnsi="Times New Roman" w:cs="Times New Roman"/>
          <w:snapToGrid w:val="0"/>
          <w:color w:val="auto"/>
          <w:kern w:val="0"/>
          <w:sz w:val="24"/>
          <w:highlight w:val="none"/>
        </w:rPr>
      </w:pPr>
      <w:r>
        <w:rPr>
          <w:rFonts w:hint="default" w:ascii="Times New Roman" w:hAnsi="Times New Roman" w:cs="Times New Roman"/>
          <w:snapToGrid w:val="0"/>
          <w:color w:val="auto"/>
          <w:kern w:val="0"/>
          <w:sz w:val="24"/>
          <w:highlight w:val="none"/>
        </w:rPr>
        <w:t>依据对当地林地生长情况及产量、价格调查情况分析计算</w:t>
      </w:r>
      <w:r>
        <w:rPr>
          <w:rFonts w:hint="default" w:ascii="Times New Roman" w:hAnsi="Times New Roman" w:cs="Times New Roman"/>
          <w:bCs/>
          <w:snapToGrid w:val="0"/>
          <w:color w:val="auto"/>
          <w:kern w:val="0"/>
          <w:sz w:val="24"/>
          <w:highlight w:val="none"/>
        </w:rPr>
        <w:t>，一代林亩产量5m</w:t>
      </w:r>
      <w:r>
        <w:rPr>
          <w:rFonts w:hint="default" w:ascii="Times New Roman" w:hAnsi="Times New Roman" w:cs="Times New Roman"/>
          <w:bCs/>
          <w:snapToGrid w:val="0"/>
          <w:color w:val="auto"/>
          <w:kern w:val="0"/>
          <w:sz w:val="24"/>
          <w:highlight w:val="none"/>
          <w:vertAlign w:val="superscript"/>
        </w:rPr>
        <w:t>3</w:t>
      </w:r>
      <w:r>
        <w:rPr>
          <w:rFonts w:hint="default" w:ascii="Times New Roman" w:hAnsi="Times New Roman" w:cs="Times New Roman"/>
          <w:bCs/>
          <w:snapToGrid w:val="0"/>
          <w:color w:val="auto"/>
          <w:kern w:val="0"/>
          <w:sz w:val="24"/>
          <w:highlight w:val="none"/>
        </w:rPr>
        <w:t>，生长周期为12年，600元/m</w:t>
      </w:r>
      <w:r>
        <w:rPr>
          <w:rFonts w:hint="default" w:ascii="Times New Roman" w:hAnsi="Times New Roman" w:cs="Times New Roman"/>
          <w:bCs/>
          <w:snapToGrid w:val="0"/>
          <w:color w:val="auto"/>
          <w:kern w:val="0"/>
          <w:sz w:val="24"/>
          <w:highlight w:val="none"/>
          <w:vertAlign w:val="superscript"/>
        </w:rPr>
        <w:t>3</w:t>
      </w:r>
      <w:r>
        <w:rPr>
          <w:rFonts w:hint="default" w:ascii="Times New Roman" w:hAnsi="Times New Roman" w:cs="Times New Roman"/>
          <w:bCs/>
          <w:snapToGrid w:val="0"/>
          <w:color w:val="auto"/>
          <w:kern w:val="0"/>
          <w:sz w:val="24"/>
          <w:highlight w:val="none"/>
        </w:rPr>
        <w:t>，</w:t>
      </w:r>
      <w:r>
        <w:rPr>
          <w:rFonts w:hint="default" w:ascii="Times New Roman" w:hAnsi="Times New Roman" w:cs="Times New Roman"/>
          <w:snapToGrid w:val="0"/>
          <w:color w:val="auto"/>
          <w:kern w:val="0"/>
          <w:sz w:val="24"/>
          <w:highlight w:val="none"/>
        </w:rPr>
        <w:t>林地临时用地单价分析见表</w:t>
      </w:r>
      <w:r>
        <w:rPr>
          <w:rFonts w:hint="eastAsia" w:ascii="Times New Roman" w:hAnsi="Times New Roman" w:cs="Times New Roman"/>
          <w:snapToGrid w:val="0"/>
          <w:color w:val="auto"/>
          <w:kern w:val="0"/>
          <w:sz w:val="24"/>
          <w:highlight w:val="none"/>
          <w:lang w:val="en-US" w:eastAsia="zh-CN"/>
        </w:rPr>
        <w:t>1.</w:t>
      </w:r>
      <w:r>
        <w:rPr>
          <w:rFonts w:hint="default" w:ascii="Times New Roman" w:hAnsi="Times New Roman" w:cs="Times New Roman"/>
          <w:snapToGrid w:val="0"/>
          <w:color w:val="auto"/>
          <w:kern w:val="0"/>
          <w:sz w:val="24"/>
          <w:highlight w:val="none"/>
        </w:rPr>
        <w:t>8-4。</w:t>
      </w:r>
    </w:p>
    <w:p>
      <w:pPr>
        <w:adjustRightInd w:val="0"/>
        <w:snapToGrid w:val="0"/>
        <w:spacing w:line="500" w:lineRule="atLeast"/>
        <w:jc w:val="center"/>
        <w:rPr>
          <w:rFonts w:hint="default" w:asciiTheme="minorEastAsia" w:hAnsiTheme="minorEastAsia" w:eastAsiaTheme="minorEastAsia" w:cstheme="minorEastAsia"/>
          <w:color w:val="auto"/>
          <w:sz w:val="24"/>
          <w:szCs w:val="24"/>
          <w:highlight w:val="none"/>
        </w:rPr>
      </w:pPr>
      <w:r>
        <w:rPr>
          <w:rFonts w:hint="default" w:asciiTheme="minorEastAsia" w:hAnsiTheme="minorEastAsia" w:eastAsiaTheme="minorEastAsia" w:cstheme="minorEastAsia"/>
          <w:color w:val="auto"/>
          <w:sz w:val="24"/>
          <w:szCs w:val="24"/>
          <w:highlight w:val="none"/>
        </w:rPr>
        <w:t>表</w:t>
      </w:r>
      <w:r>
        <w:rPr>
          <w:rFonts w:hint="eastAsia" w:asciiTheme="minorEastAsia" w:hAnsiTheme="minorEastAsia" w:eastAsiaTheme="minorEastAsia" w:cstheme="minorEastAsia"/>
          <w:color w:val="auto"/>
          <w:sz w:val="24"/>
          <w:szCs w:val="24"/>
          <w:highlight w:val="none"/>
          <w:lang w:val="en-US" w:eastAsia="zh-CN"/>
        </w:rPr>
        <w:t>1.</w:t>
      </w:r>
      <w:r>
        <w:rPr>
          <w:rFonts w:hint="default" w:asciiTheme="minorEastAsia" w:hAnsiTheme="minorEastAsia" w:eastAsiaTheme="minorEastAsia" w:cstheme="minorEastAsia"/>
          <w:color w:val="auto"/>
          <w:sz w:val="24"/>
          <w:szCs w:val="24"/>
          <w:highlight w:val="none"/>
        </w:rPr>
        <w:t>8-4  林地临时用地单价分析表</w:t>
      </w:r>
    </w:p>
    <w:tbl>
      <w:tblPr>
        <w:tblStyle w:val="2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751"/>
        <w:gridCol w:w="611"/>
        <w:gridCol w:w="587"/>
        <w:gridCol w:w="888"/>
        <w:gridCol w:w="689"/>
        <w:gridCol w:w="1206"/>
        <w:gridCol w:w="1086"/>
        <w:gridCol w:w="1191"/>
        <w:gridCol w:w="13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49" w:type="pct"/>
            <w:vMerge w:val="restart"/>
            <w:noWrap w:val="0"/>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default" w:ascii="Times New Roman" w:hAnsi="Times New Roman" w:cs="Times New Roman"/>
                <w:color w:val="auto"/>
                <w:kern w:val="0"/>
                <w:sz w:val="21"/>
                <w:szCs w:val="18"/>
                <w:highlight w:val="none"/>
              </w:rPr>
            </w:pPr>
            <w:r>
              <w:rPr>
                <w:rFonts w:hint="default" w:ascii="Times New Roman" w:hAnsi="Times New Roman" w:cs="Times New Roman"/>
                <w:color w:val="auto"/>
                <w:kern w:val="0"/>
                <w:sz w:val="21"/>
                <w:szCs w:val="18"/>
                <w:highlight w:val="none"/>
              </w:rPr>
              <w:t>项目</w:t>
            </w:r>
          </w:p>
        </w:tc>
        <w:tc>
          <w:tcPr>
            <w:tcW w:w="715" w:type="pct"/>
            <w:gridSpan w:val="2"/>
            <w:noWrap w:val="0"/>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default" w:ascii="Times New Roman" w:hAnsi="Times New Roman" w:cs="Times New Roman"/>
                <w:color w:val="auto"/>
                <w:kern w:val="0"/>
                <w:sz w:val="21"/>
                <w:szCs w:val="18"/>
                <w:highlight w:val="none"/>
              </w:rPr>
            </w:pPr>
            <w:r>
              <w:rPr>
                <w:rFonts w:hint="default" w:ascii="Times New Roman" w:hAnsi="Times New Roman" w:cs="Times New Roman"/>
                <w:color w:val="auto"/>
                <w:kern w:val="0"/>
                <w:sz w:val="21"/>
                <w:szCs w:val="18"/>
                <w:highlight w:val="none"/>
              </w:rPr>
              <w:t>亩产量</w:t>
            </w:r>
          </w:p>
        </w:tc>
        <w:tc>
          <w:tcPr>
            <w:tcW w:w="531" w:type="pct"/>
            <w:vMerge w:val="restart"/>
            <w:noWrap w:val="0"/>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default" w:ascii="Times New Roman" w:hAnsi="Times New Roman" w:cs="Times New Roman"/>
                <w:color w:val="auto"/>
                <w:kern w:val="0"/>
                <w:sz w:val="21"/>
                <w:szCs w:val="18"/>
                <w:highlight w:val="none"/>
              </w:rPr>
            </w:pPr>
            <w:r>
              <w:rPr>
                <w:rFonts w:hint="default" w:ascii="Times New Roman" w:hAnsi="Times New Roman" w:cs="Times New Roman"/>
                <w:color w:val="auto"/>
                <w:kern w:val="0"/>
                <w:sz w:val="21"/>
                <w:szCs w:val="18"/>
                <w:highlight w:val="none"/>
              </w:rPr>
              <w:t>单价(元)</w:t>
            </w:r>
          </w:p>
        </w:tc>
        <w:tc>
          <w:tcPr>
            <w:tcW w:w="412" w:type="pct"/>
            <w:vMerge w:val="restart"/>
            <w:noWrap w:val="0"/>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default" w:ascii="Times New Roman" w:hAnsi="Times New Roman" w:cs="Times New Roman"/>
                <w:color w:val="auto"/>
                <w:kern w:val="0"/>
                <w:sz w:val="21"/>
                <w:szCs w:val="18"/>
                <w:highlight w:val="none"/>
              </w:rPr>
            </w:pPr>
            <w:r>
              <w:rPr>
                <w:rFonts w:hint="default" w:ascii="Times New Roman" w:hAnsi="Times New Roman" w:cs="Times New Roman"/>
                <w:color w:val="auto"/>
                <w:kern w:val="0"/>
                <w:sz w:val="21"/>
                <w:szCs w:val="18"/>
                <w:highlight w:val="none"/>
              </w:rPr>
              <w:t>轮伐期</w:t>
            </w:r>
          </w:p>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default" w:ascii="Times New Roman" w:hAnsi="Times New Roman" w:cs="Times New Roman"/>
                <w:color w:val="auto"/>
                <w:kern w:val="0"/>
                <w:sz w:val="21"/>
                <w:szCs w:val="18"/>
                <w:highlight w:val="none"/>
              </w:rPr>
            </w:pPr>
            <w:r>
              <w:rPr>
                <w:rFonts w:hint="default" w:ascii="Times New Roman" w:hAnsi="Times New Roman" w:cs="Times New Roman"/>
                <w:color w:val="auto"/>
                <w:kern w:val="0"/>
                <w:sz w:val="21"/>
                <w:szCs w:val="18"/>
                <w:highlight w:val="none"/>
              </w:rPr>
              <w:t>(年)</w:t>
            </w:r>
          </w:p>
        </w:tc>
        <w:tc>
          <w:tcPr>
            <w:tcW w:w="721" w:type="pct"/>
            <w:vMerge w:val="restart"/>
            <w:noWrap w:val="0"/>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default" w:ascii="Times New Roman" w:hAnsi="Times New Roman" w:cs="Times New Roman"/>
                <w:color w:val="auto"/>
                <w:kern w:val="0"/>
                <w:sz w:val="21"/>
                <w:szCs w:val="18"/>
                <w:highlight w:val="none"/>
              </w:rPr>
            </w:pPr>
            <w:r>
              <w:rPr>
                <w:rFonts w:hint="default" w:ascii="Times New Roman" w:hAnsi="Times New Roman" w:cs="Times New Roman"/>
                <w:color w:val="auto"/>
                <w:kern w:val="0"/>
                <w:sz w:val="21"/>
                <w:szCs w:val="18"/>
                <w:highlight w:val="none"/>
              </w:rPr>
              <w:t>平均亩产值</w:t>
            </w:r>
          </w:p>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default" w:ascii="Times New Roman" w:hAnsi="Times New Roman" w:cs="Times New Roman"/>
                <w:color w:val="auto"/>
                <w:kern w:val="0"/>
                <w:sz w:val="21"/>
                <w:szCs w:val="18"/>
                <w:highlight w:val="none"/>
              </w:rPr>
            </w:pPr>
            <w:r>
              <w:rPr>
                <w:rFonts w:hint="default" w:ascii="Times New Roman" w:hAnsi="Times New Roman" w:cs="Times New Roman"/>
                <w:color w:val="auto"/>
                <w:kern w:val="0"/>
                <w:sz w:val="21"/>
                <w:szCs w:val="18"/>
                <w:highlight w:val="none"/>
              </w:rPr>
              <w:t>(元/亩)</w:t>
            </w:r>
          </w:p>
        </w:tc>
        <w:tc>
          <w:tcPr>
            <w:tcW w:w="649" w:type="pct"/>
            <w:vMerge w:val="restart"/>
            <w:noWrap w:val="0"/>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default" w:ascii="Times New Roman" w:hAnsi="Times New Roman" w:cs="Times New Roman"/>
                <w:color w:val="auto"/>
                <w:kern w:val="0"/>
                <w:sz w:val="21"/>
                <w:szCs w:val="18"/>
                <w:highlight w:val="none"/>
              </w:rPr>
            </w:pPr>
            <w:r>
              <w:rPr>
                <w:rFonts w:hint="default" w:ascii="Times New Roman" w:hAnsi="Times New Roman" w:cs="Times New Roman"/>
                <w:color w:val="auto"/>
                <w:kern w:val="0"/>
                <w:sz w:val="21"/>
                <w:szCs w:val="18"/>
                <w:highlight w:val="none"/>
              </w:rPr>
              <w:t>林木补偿</w:t>
            </w:r>
          </w:p>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default" w:ascii="Times New Roman" w:hAnsi="Times New Roman" w:cs="Times New Roman"/>
                <w:color w:val="auto"/>
                <w:kern w:val="0"/>
                <w:sz w:val="21"/>
                <w:szCs w:val="18"/>
                <w:highlight w:val="none"/>
              </w:rPr>
            </w:pPr>
            <w:r>
              <w:rPr>
                <w:rFonts w:hint="default" w:ascii="Times New Roman" w:hAnsi="Times New Roman" w:cs="Times New Roman"/>
                <w:color w:val="auto"/>
                <w:kern w:val="0"/>
                <w:sz w:val="21"/>
                <w:szCs w:val="18"/>
                <w:highlight w:val="none"/>
              </w:rPr>
              <w:t>(元/亩)</w:t>
            </w:r>
          </w:p>
        </w:tc>
        <w:tc>
          <w:tcPr>
            <w:tcW w:w="712" w:type="pct"/>
            <w:vMerge w:val="restart"/>
            <w:noWrap w:val="0"/>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default" w:ascii="Times New Roman" w:hAnsi="Times New Roman" w:cs="Times New Roman"/>
                <w:color w:val="auto"/>
                <w:kern w:val="0"/>
                <w:sz w:val="21"/>
                <w:szCs w:val="18"/>
                <w:highlight w:val="none"/>
              </w:rPr>
            </w:pPr>
            <w:r>
              <w:rPr>
                <w:rFonts w:hint="default" w:ascii="Times New Roman" w:hAnsi="Times New Roman" w:cs="Times New Roman"/>
                <w:color w:val="auto"/>
                <w:kern w:val="0"/>
                <w:sz w:val="21"/>
                <w:szCs w:val="18"/>
                <w:highlight w:val="none"/>
              </w:rPr>
              <w:t>使用期+1年</w:t>
            </w:r>
          </w:p>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default" w:ascii="Times New Roman" w:hAnsi="Times New Roman" w:cs="Times New Roman"/>
                <w:color w:val="auto"/>
                <w:kern w:val="0"/>
                <w:sz w:val="21"/>
                <w:szCs w:val="18"/>
                <w:highlight w:val="none"/>
              </w:rPr>
            </w:pPr>
            <w:r>
              <w:rPr>
                <w:rFonts w:hint="default" w:ascii="Times New Roman" w:hAnsi="Times New Roman" w:cs="Times New Roman"/>
                <w:color w:val="auto"/>
                <w:kern w:val="0"/>
                <w:sz w:val="21"/>
                <w:szCs w:val="18"/>
                <w:highlight w:val="none"/>
              </w:rPr>
              <w:t>恢复期(年)</w:t>
            </w:r>
          </w:p>
        </w:tc>
        <w:tc>
          <w:tcPr>
            <w:tcW w:w="809" w:type="pct"/>
            <w:vMerge w:val="restart"/>
            <w:noWrap w:val="0"/>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default" w:ascii="Times New Roman" w:hAnsi="Times New Roman" w:cs="Times New Roman"/>
                <w:color w:val="auto"/>
                <w:kern w:val="0"/>
                <w:sz w:val="21"/>
                <w:szCs w:val="18"/>
                <w:highlight w:val="none"/>
              </w:rPr>
            </w:pPr>
            <w:r>
              <w:rPr>
                <w:rFonts w:hint="default" w:ascii="Times New Roman" w:hAnsi="Times New Roman" w:cs="Times New Roman"/>
                <w:color w:val="auto"/>
                <w:kern w:val="0"/>
                <w:sz w:val="21"/>
                <w:szCs w:val="18"/>
                <w:highlight w:val="none"/>
              </w:rPr>
              <w:t>临时用地补偿</w:t>
            </w:r>
          </w:p>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default" w:ascii="Times New Roman" w:hAnsi="Times New Roman" w:cs="Times New Roman"/>
                <w:color w:val="auto"/>
                <w:kern w:val="0"/>
                <w:sz w:val="21"/>
                <w:szCs w:val="18"/>
                <w:highlight w:val="none"/>
              </w:rPr>
            </w:pPr>
            <w:r>
              <w:rPr>
                <w:rFonts w:hint="default" w:ascii="Times New Roman" w:hAnsi="Times New Roman" w:cs="Times New Roman"/>
                <w:color w:val="auto"/>
                <w:kern w:val="0"/>
                <w:sz w:val="21"/>
                <w:szCs w:val="18"/>
                <w:highlight w:val="none"/>
              </w:rPr>
              <w:t>单价(元/亩)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49" w:type="pct"/>
            <w:vMerge w:val="continue"/>
            <w:noWrap w:val="0"/>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default" w:ascii="Times New Roman" w:hAnsi="Times New Roman" w:cs="Times New Roman"/>
                <w:color w:val="auto"/>
                <w:kern w:val="0"/>
                <w:sz w:val="21"/>
                <w:szCs w:val="18"/>
                <w:highlight w:val="none"/>
              </w:rPr>
            </w:pPr>
          </w:p>
        </w:tc>
        <w:tc>
          <w:tcPr>
            <w:tcW w:w="365" w:type="pct"/>
            <w:noWrap w:val="0"/>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default" w:ascii="Times New Roman" w:hAnsi="Times New Roman" w:cs="Times New Roman"/>
                <w:color w:val="auto"/>
                <w:kern w:val="0"/>
                <w:sz w:val="21"/>
                <w:szCs w:val="18"/>
                <w:highlight w:val="none"/>
              </w:rPr>
            </w:pPr>
            <w:r>
              <w:rPr>
                <w:rFonts w:hint="default" w:ascii="Times New Roman" w:hAnsi="Times New Roman" w:cs="Times New Roman"/>
                <w:color w:val="auto"/>
                <w:kern w:val="0"/>
                <w:sz w:val="21"/>
                <w:szCs w:val="18"/>
                <w:highlight w:val="none"/>
              </w:rPr>
              <w:t>单位</w:t>
            </w:r>
          </w:p>
        </w:tc>
        <w:tc>
          <w:tcPr>
            <w:tcW w:w="351" w:type="pct"/>
            <w:noWrap w:val="0"/>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default" w:ascii="Times New Roman" w:hAnsi="Times New Roman" w:cs="Times New Roman"/>
                <w:color w:val="auto"/>
                <w:kern w:val="0"/>
                <w:sz w:val="21"/>
                <w:szCs w:val="18"/>
                <w:highlight w:val="none"/>
              </w:rPr>
            </w:pPr>
            <w:r>
              <w:rPr>
                <w:rFonts w:hint="default" w:ascii="Times New Roman" w:hAnsi="Times New Roman" w:cs="Times New Roman"/>
                <w:color w:val="auto"/>
                <w:kern w:val="0"/>
                <w:sz w:val="21"/>
                <w:szCs w:val="18"/>
                <w:highlight w:val="none"/>
              </w:rPr>
              <w:t>数值</w:t>
            </w:r>
          </w:p>
        </w:tc>
        <w:tc>
          <w:tcPr>
            <w:tcW w:w="531" w:type="pct"/>
            <w:vMerge w:val="continue"/>
            <w:noWrap w:val="0"/>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default" w:ascii="Times New Roman" w:hAnsi="Times New Roman" w:cs="Times New Roman"/>
                <w:color w:val="auto"/>
                <w:kern w:val="0"/>
                <w:sz w:val="21"/>
                <w:szCs w:val="18"/>
                <w:highlight w:val="none"/>
              </w:rPr>
            </w:pPr>
          </w:p>
        </w:tc>
        <w:tc>
          <w:tcPr>
            <w:tcW w:w="412" w:type="pct"/>
            <w:vMerge w:val="continue"/>
            <w:noWrap w:val="0"/>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default" w:ascii="Times New Roman" w:hAnsi="Times New Roman" w:cs="Times New Roman"/>
                <w:color w:val="auto"/>
                <w:kern w:val="0"/>
                <w:sz w:val="21"/>
                <w:szCs w:val="18"/>
                <w:highlight w:val="none"/>
              </w:rPr>
            </w:pPr>
          </w:p>
        </w:tc>
        <w:tc>
          <w:tcPr>
            <w:tcW w:w="721" w:type="pct"/>
            <w:vMerge w:val="continue"/>
            <w:noWrap w:val="0"/>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default" w:ascii="Times New Roman" w:hAnsi="Times New Roman" w:cs="Times New Roman"/>
                <w:color w:val="auto"/>
                <w:kern w:val="0"/>
                <w:sz w:val="21"/>
                <w:szCs w:val="18"/>
                <w:highlight w:val="none"/>
              </w:rPr>
            </w:pPr>
          </w:p>
        </w:tc>
        <w:tc>
          <w:tcPr>
            <w:tcW w:w="649" w:type="pct"/>
            <w:vMerge w:val="continue"/>
            <w:noWrap w:val="0"/>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default" w:ascii="Times New Roman" w:hAnsi="Times New Roman" w:cs="Times New Roman"/>
                <w:color w:val="auto"/>
                <w:kern w:val="0"/>
                <w:sz w:val="21"/>
                <w:szCs w:val="18"/>
                <w:highlight w:val="none"/>
              </w:rPr>
            </w:pPr>
          </w:p>
        </w:tc>
        <w:tc>
          <w:tcPr>
            <w:tcW w:w="712" w:type="pct"/>
            <w:vMerge w:val="continue"/>
            <w:noWrap w:val="0"/>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default" w:ascii="Times New Roman" w:hAnsi="Times New Roman" w:cs="Times New Roman"/>
                <w:color w:val="auto"/>
                <w:kern w:val="0"/>
                <w:sz w:val="21"/>
                <w:szCs w:val="18"/>
                <w:highlight w:val="none"/>
              </w:rPr>
            </w:pPr>
          </w:p>
        </w:tc>
        <w:tc>
          <w:tcPr>
            <w:tcW w:w="809" w:type="pct"/>
            <w:vMerge w:val="continue"/>
            <w:noWrap w:val="0"/>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default" w:ascii="Times New Roman" w:hAnsi="Times New Roman" w:cs="Times New Roman"/>
                <w:color w:val="auto"/>
                <w:kern w:val="0"/>
                <w:sz w:val="21"/>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49" w:type="pct"/>
            <w:noWrap w:val="0"/>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default" w:ascii="Times New Roman" w:hAnsi="Times New Roman" w:cs="Times New Roman"/>
                <w:color w:val="auto"/>
                <w:kern w:val="0"/>
                <w:sz w:val="21"/>
                <w:szCs w:val="18"/>
                <w:highlight w:val="none"/>
              </w:rPr>
            </w:pPr>
            <w:r>
              <w:rPr>
                <w:rFonts w:hint="default" w:ascii="Times New Roman" w:hAnsi="Times New Roman" w:cs="Times New Roman"/>
                <w:color w:val="auto"/>
                <w:kern w:val="0"/>
                <w:sz w:val="21"/>
                <w:szCs w:val="18"/>
                <w:highlight w:val="none"/>
              </w:rPr>
              <w:t>杂树</w:t>
            </w:r>
          </w:p>
        </w:tc>
        <w:tc>
          <w:tcPr>
            <w:tcW w:w="365" w:type="pct"/>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default" w:ascii="Times New Roman" w:hAnsi="Times New Roman" w:cs="Times New Roman"/>
                <w:color w:val="auto"/>
                <w:kern w:val="0"/>
                <w:sz w:val="21"/>
                <w:szCs w:val="18"/>
                <w:highlight w:val="none"/>
              </w:rPr>
            </w:pPr>
            <w:r>
              <w:rPr>
                <w:rFonts w:hint="default" w:ascii="Times New Roman" w:hAnsi="Times New Roman" w:cs="Times New Roman"/>
                <w:color w:val="auto"/>
                <w:kern w:val="0"/>
                <w:sz w:val="21"/>
                <w:szCs w:val="18"/>
                <w:highlight w:val="none"/>
              </w:rPr>
              <w:t>m</w:t>
            </w:r>
            <w:r>
              <w:rPr>
                <w:rFonts w:hint="default" w:ascii="Times New Roman" w:hAnsi="Times New Roman" w:cs="Times New Roman"/>
                <w:color w:val="auto"/>
                <w:kern w:val="0"/>
                <w:sz w:val="21"/>
                <w:szCs w:val="18"/>
                <w:highlight w:val="none"/>
                <w:vertAlign w:val="superscript"/>
              </w:rPr>
              <w:t>3</w:t>
            </w:r>
          </w:p>
        </w:tc>
        <w:tc>
          <w:tcPr>
            <w:tcW w:w="351" w:type="pct"/>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default" w:ascii="Times New Roman" w:hAnsi="Times New Roman" w:cs="Times New Roman"/>
                <w:color w:val="auto"/>
                <w:kern w:val="0"/>
                <w:sz w:val="21"/>
                <w:szCs w:val="18"/>
                <w:highlight w:val="none"/>
              </w:rPr>
            </w:pPr>
            <w:r>
              <w:rPr>
                <w:rFonts w:hint="default" w:ascii="Times New Roman" w:hAnsi="Times New Roman" w:cs="Times New Roman"/>
                <w:color w:val="auto"/>
                <w:kern w:val="0"/>
                <w:sz w:val="21"/>
                <w:szCs w:val="18"/>
                <w:highlight w:val="none"/>
              </w:rPr>
              <w:t>5</w:t>
            </w:r>
          </w:p>
        </w:tc>
        <w:tc>
          <w:tcPr>
            <w:tcW w:w="531" w:type="pct"/>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default" w:ascii="Times New Roman" w:hAnsi="Times New Roman" w:cs="Times New Roman"/>
                <w:color w:val="auto"/>
                <w:kern w:val="0"/>
                <w:sz w:val="21"/>
                <w:szCs w:val="18"/>
                <w:highlight w:val="none"/>
              </w:rPr>
            </w:pPr>
            <w:r>
              <w:rPr>
                <w:rFonts w:hint="default" w:ascii="Times New Roman" w:hAnsi="Times New Roman" w:cs="Times New Roman"/>
                <w:color w:val="auto"/>
                <w:kern w:val="0"/>
                <w:sz w:val="21"/>
                <w:szCs w:val="18"/>
                <w:highlight w:val="none"/>
              </w:rPr>
              <w:t>600</w:t>
            </w:r>
          </w:p>
        </w:tc>
        <w:tc>
          <w:tcPr>
            <w:tcW w:w="412" w:type="pct"/>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default" w:ascii="Times New Roman" w:hAnsi="Times New Roman" w:cs="Times New Roman"/>
                <w:color w:val="auto"/>
                <w:kern w:val="0"/>
                <w:sz w:val="21"/>
                <w:szCs w:val="18"/>
                <w:highlight w:val="none"/>
              </w:rPr>
            </w:pPr>
            <w:r>
              <w:rPr>
                <w:rFonts w:hint="default" w:ascii="Times New Roman" w:hAnsi="Times New Roman" w:cs="Times New Roman"/>
                <w:color w:val="auto"/>
                <w:kern w:val="0"/>
                <w:sz w:val="21"/>
                <w:szCs w:val="18"/>
                <w:highlight w:val="none"/>
              </w:rPr>
              <w:t>12</w:t>
            </w:r>
          </w:p>
        </w:tc>
        <w:tc>
          <w:tcPr>
            <w:tcW w:w="721" w:type="pct"/>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default" w:ascii="Times New Roman" w:hAnsi="Times New Roman" w:cs="Times New Roman"/>
                <w:color w:val="auto"/>
                <w:kern w:val="0"/>
                <w:sz w:val="21"/>
                <w:szCs w:val="18"/>
                <w:highlight w:val="none"/>
              </w:rPr>
            </w:pPr>
            <w:r>
              <w:rPr>
                <w:rFonts w:hint="default" w:ascii="Times New Roman" w:hAnsi="Times New Roman" w:cs="Times New Roman"/>
                <w:color w:val="auto"/>
                <w:kern w:val="0"/>
                <w:sz w:val="21"/>
                <w:szCs w:val="18"/>
                <w:highlight w:val="none"/>
              </w:rPr>
              <w:t>250</w:t>
            </w:r>
          </w:p>
        </w:tc>
        <w:tc>
          <w:tcPr>
            <w:tcW w:w="649" w:type="pct"/>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default" w:ascii="Times New Roman" w:hAnsi="Times New Roman" w:cs="Times New Roman"/>
                <w:color w:val="auto"/>
                <w:kern w:val="0"/>
                <w:sz w:val="21"/>
                <w:szCs w:val="18"/>
                <w:highlight w:val="none"/>
              </w:rPr>
            </w:pPr>
            <w:r>
              <w:rPr>
                <w:rFonts w:hint="default" w:ascii="Times New Roman" w:hAnsi="Times New Roman" w:cs="Times New Roman"/>
                <w:color w:val="auto"/>
                <w:kern w:val="0"/>
                <w:sz w:val="21"/>
                <w:szCs w:val="18"/>
                <w:highlight w:val="none"/>
              </w:rPr>
              <w:t>3000</w:t>
            </w:r>
          </w:p>
        </w:tc>
        <w:tc>
          <w:tcPr>
            <w:tcW w:w="712" w:type="pct"/>
            <w:noWrap/>
            <w:vAlign w:val="center"/>
          </w:tcPr>
          <w:p>
            <w:pPr>
              <w:keepNext w:val="0"/>
              <w:keepLines w:val="0"/>
              <w:pageBreakBefore w:val="0"/>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default" w:ascii="Times New Roman" w:hAnsi="Times New Roman" w:cs="Times New Roman"/>
                <w:color w:val="auto"/>
                <w:sz w:val="21"/>
                <w:szCs w:val="18"/>
                <w:highlight w:val="none"/>
              </w:rPr>
            </w:pPr>
            <w:r>
              <w:rPr>
                <w:rFonts w:hint="default" w:ascii="Times New Roman" w:hAnsi="Times New Roman" w:cs="Times New Roman"/>
                <w:color w:val="auto"/>
                <w:sz w:val="21"/>
                <w:szCs w:val="18"/>
                <w:highlight w:val="none"/>
              </w:rPr>
              <w:t>2</w:t>
            </w:r>
          </w:p>
        </w:tc>
        <w:tc>
          <w:tcPr>
            <w:tcW w:w="809" w:type="pct"/>
            <w:noWrap/>
            <w:vAlign w:val="center"/>
          </w:tcPr>
          <w:p>
            <w:pPr>
              <w:keepNext w:val="0"/>
              <w:keepLines w:val="0"/>
              <w:pageBreakBefore w:val="0"/>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default" w:ascii="Times New Roman" w:hAnsi="Times New Roman" w:cs="Times New Roman"/>
                <w:color w:val="auto"/>
                <w:sz w:val="21"/>
                <w:szCs w:val="18"/>
                <w:highlight w:val="none"/>
              </w:rPr>
            </w:pPr>
            <w:r>
              <w:rPr>
                <w:rFonts w:hint="default" w:ascii="Times New Roman" w:hAnsi="Times New Roman" w:cs="Times New Roman"/>
                <w:color w:val="auto"/>
                <w:sz w:val="21"/>
                <w:szCs w:val="18"/>
                <w:highlight w:val="none"/>
              </w:rPr>
              <w:t>3500</w:t>
            </w:r>
          </w:p>
        </w:tc>
      </w:tr>
    </w:tbl>
    <w:p>
      <w:pPr>
        <w:adjustRightInd w:val="0"/>
        <w:snapToGrid w:val="0"/>
        <w:spacing w:line="500" w:lineRule="atLeast"/>
        <w:ind w:firstLine="480" w:firstLineChars="200"/>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(2)  其他土地</w:t>
      </w:r>
    </w:p>
    <w:p>
      <w:pPr>
        <w:adjustRightInd w:val="0"/>
        <w:snapToGrid w:val="0"/>
        <w:spacing w:line="500" w:lineRule="atLeast"/>
        <w:ind w:firstLine="480" w:firstLineChars="200"/>
        <w:rPr>
          <w:rFonts w:hint="default" w:ascii="Times New Roman" w:hAnsi="Times New Roman" w:cs="Times New Roman"/>
          <w:snapToGrid w:val="0"/>
          <w:color w:val="auto"/>
          <w:kern w:val="0"/>
          <w:sz w:val="24"/>
          <w:highlight w:val="none"/>
        </w:rPr>
      </w:pPr>
      <w:r>
        <w:rPr>
          <w:rFonts w:hint="default" w:ascii="Times New Roman" w:hAnsi="Times New Roman" w:cs="Times New Roman"/>
          <w:snapToGrid w:val="0"/>
          <w:color w:val="auto"/>
          <w:kern w:val="0"/>
          <w:sz w:val="24"/>
          <w:highlight w:val="none"/>
        </w:rPr>
        <w:t>工</w:t>
      </w:r>
      <w:r>
        <w:rPr>
          <w:rFonts w:hint="default" w:ascii="Times New Roman" w:hAnsi="Times New Roman" w:cs="Times New Roman"/>
          <w:snapToGrid w:val="0"/>
          <w:color w:val="auto"/>
          <w:spacing w:val="6"/>
          <w:kern w:val="0"/>
          <w:sz w:val="24"/>
          <w:highlight w:val="none"/>
        </w:rPr>
        <w:t>程涉及其他土地主要为空闲地，经协商，本次涉及空闲地按10000元/亩进行</w:t>
      </w:r>
      <w:r>
        <w:rPr>
          <w:rFonts w:hint="default" w:ascii="Times New Roman" w:hAnsi="Times New Roman" w:cs="Times New Roman"/>
          <w:snapToGrid w:val="0"/>
          <w:color w:val="auto"/>
          <w:kern w:val="0"/>
          <w:sz w:val="24"/>
          <w:highlight w:val="none"/>
        </w:rPr>
        <w:t>租用。</w:t>
      </w:r>
    </w:p>
    <w:p>
      <w:pPr>
        <w:adjustRightInd w:val="0"/>
        <w:snapToGrid w:val="0"/>
        <w:spacing w:line="500" w:lineRule="atLeast"/>
        <w:outlineLvl w:val="2"/>
        <w:rPr>
          <w:rFonts w:hint="default" w:ascii="Times New Roman" w:hAnsi="Times New Roman" w:cs="Times New Roman"/>
          <w:color w:val="auto"/>
          <w:sz w:val="24"/>
          <w:highlight w:val="none"/>
        </w:rPr>
      </w:pPr>
      <w:r>
        <w:rPr>
          <w:rFonts w:hint="eastAsia" w:ascii="Times New Roman" w:hAnsi="Times New Roman" w:cs="Times New Roman"/>
          <w:color w:val="auto"/>
          <w:sz w:val="24"/>
          <w:highlight w:val="none"/>
          <w:lang w:val="en-US" w:eastAsia="zh-CN"/>
        </w:rPr>
        <w:t>1.</w:t>
      </w:r>
      <w:r>
        <w:rPr>
          <w:rFonts w:hint="default" w:ascii="Times New Roman" w:hAnsi="Times New Roman" w:cs="Times New Roman"/>
          <w:color w:val="auto"/>
          <w:sz w:val="24"/>
          <w:highlight w:val="none"/>
        </w:rPr>
        <w:t>8.</w:t>
      </w:r>
      <w:r>
        <w:rPr>
          <w:rFonts w:hint="eastAsia" w:ascii="Times New Roman" w:hAnsi="Times New Roman" w:cs="Times New Roman"/>
          <w:color w:val="auto"/>
          <w:sz w:val="24"/>
          <w:highlight w:val="none"/>
          <w:lang w:val="en-US" w:eastAsia="zh-CN"/>
        </w:rPr>
        <w:t>6.3</w:t>
      </w:r>
      <w:r>
        <w:rPr>
          <w:rFonts w:hint="default" w:ascii="Times New Roman" w:hAnsi="Times New Roman" w:cs="Times New Roman"/>
          <w:color w:val="auto"/>
          <w:sz w:val="24"/>
          <w:highlight w:val="none"/>
        </w:rPr>
        <w:t xml:space="preserve">  房屋拆除补偿单价分析</w:t>
      </w:r>
    </w:p>
    <w:p>
      <w:pPr>
        <w:adjustRightInd w:val="0"/>
        <w:snapToGrid w:val="0"/>
        <w:spacing w:line="500" w:lineRule="atLeast"/>
        <w:ind w:firstLine="480" w:firstLineChars="200"/>
        <w:rPr>
          <w:snapToGrid w:val="0"/>
          <w:color w:val="auto"/>
          <w:kern w:val="0"/>
          <w:sz w:val="24"/>
          <w:highlight w:val="none"/>
        </w:rPr>
      </w:pPr>
      <w:r>
        <w:rPr>
          <w:rFonts w:hint="default" w:ascii="Times New Roman" w:hAnsi="Times New Roman" w:cs="Times New Roman"/>
          <w:snapToGrid w:val="0"/>
          <w:color w:val="auto"/>
          <w:kern w:val="0"/>
          <w:sz w:val="24"/>
          <w:highlight w:val="none"/>
        </w:rPr>
        <w:t>根据实地调查，本次溢洪道改造工程建设涉及简易结构耕作管理棚房拆除，参考临近工程，按450元/m</w:t>
      </w:r>
      <w:r>
        <w:rPr>
          <w:rFonts w:hint="default" w:ascii="Times New Roman" w:hAnsi="Times New Roman" w:cs="Times New Roman"/>
          <w:snapToGrid w:val="0"/>
          <w:color w:val="auto"/>
          <w:kern w:val="0"/>
          <w:sz w:val="24"/>
          <w:highlight w:val="none"/>
          <w:vertAlign w:val="superscript"/>
        </w:rPr>
        <w:t>2</w:t>
      </w:r>
      <w:r>
        <w:rPr>
          <w:rFonts w:hint="default" w:ascii="Times New Roman" w:hAnsi="Times New Roman" w:cs="Times New Roman"/>
          <w:snapToGrid w:val="0"/>
          <w:color w:val="auto"/>
          <w:kern w:val="0"/>
          <w:sz w:val="24"/>
          <w:highlight w:val="none"/>
        </w:rPr>
        <w:t>计列。</w:t>
      </w:r>
    </w:p>
    <w:p>
      <w:pPr>
        <w:pStyle w:val="5"/>
        <w:bidi w:val="0"/>
        <w:rPr>
          <w:color w:val="auto"/>
          <w:highlight w:val="none"/>
        </w:rPr>
      </w:pPr>
      <w:r>
        <w:rPr>
          <w:rFonts w:hint="eastAsia"/>
          <w:color w:val="auto"/>
          <w:highlight w:val="none"/>
          <w:lang w:val="en-US" w:eastAsia="zh-CN"/>
        </w:rPr>
        <w:t>1.8.7</w:t>
      </w:r>
      <w:r>
        <w:rPr>
          <w:color w:val="auto"/>
          <w:highlight w:val="none"/>
        </w:rPr>
        <w:t>工程建设征地投资概算</w:t>
      </w:r>
    </w:p>
    <w:p>
      <w:pPr>
        <w:pStyle w:val="66"/>
        <w:rPr>
          <w:rFonts w:hint="eastAsia" w:eastAsia="宋体"/>
          <w:color w:val="auto"/>
          <w:highlight w:val="none"/>
          <w:lang w:val="en-US" w:eastAsia="zh-CN"/>
        </w:rPr>
      </w:pPr>
      <w:r>
        <w:rPr>
          <w:snapToGrid w:val="0"/>
          <w:color w:val="auto"/>
          <w:kern w:val="0"/>
          <w:sz w:val="24"/>
          <w:highlight w:val="none"/>
        </w:rPr>
        <w:t>通过实地调查和相关政府部门的核实，工程</w:t>
      </w:r>
      <w:r>
        <w:rPr>
          <w:rFonts w:hint="eastAsia"/>
          <w:snapToGrid w:val="0"/>
          <w:color w:val="auto"/>
          <w:kern w:val="0"/>
          <w:sz w:val="24"/>
          <w:highlight w:val="none"/>
        </w:rPr>
        <w:t>建设征地</w:t>
      </w:r>
      <w:r>
        <w:rPr>
          <w:snapToGrid w:val="0"/>
          <w:color w:val="auto"/>
          <w:kern w:val="0"/>
          <w:sz w:val="24"/>
          <w:highlight w:val="none"/>
        </w:rPr>
        <w:t>投资共为</w:t>
      </w:r>
      <w:r>
        <w:rPr>
          <w:rFonts w:hint="eastAsia"/>
          <w:snapToGrid w:val="0"/>
          <w:color w:val="auto"/>
          <w:kern w:val="0"/>
          <w:sz w:val="24"/>
          <w:highlight w:val="none"/>
          <w:lang w:val="en-US" w:eastAsia="zh-CN"/>
        </w:rPr>
        <w:t>33.47</w:t>
      </w:r>
      <w:r>
        <w:rPr>
          <w:snapToGrid w:val="0"/>
          <w:color w:val="auto"/>
          <w:kern w:val="0"/>
          <w:sz w:val="24"/>
          <w:highlight w:val="none"/>
        </w:rPr>
        <w:t>万元</w:t>
      </w:r>
      <w:r>
        <w:rPr>
          <w:rFonts w:hint="eastAsia"/>
          <w:snapToGrid w:val="0"/>
          <w:color w:val="auto"/>
          <w:kern w:val="0"/>
          <w:sz w:val="24"/>
          <w:highlight w:val="none"/>
          <w:lang w:eastAsia="zh-CN"/>
        </w:rPr>
        <w:t>。</w:t>
      </w:r>
    </w:p>
    <w:p>
      <w:pPr>
        <w:adjustRightInd w:val="0"/>
        <w:snapToGrid w:val="0"/>
        <w:spacing w:line="500" w:lineRule="atLeast"/>
        <w:jc w:val="center"/>
        <w:rPr>
          <w:rFonts w:hint="eastAsia" w:asciiTheme="minorEastAsia" w:hAnsiTheme="minorEastAsia" w:eastAsiaTheme="minorEastAsia" w:cstheme="minorEastAsia"/>
          <w:snapToGrid w:val="0"/>
          <w:color w:val="auto"/>
          <w:kern w:val="0"/>
          <w:sz w:val="24"/>
          <w:highlight w:val="none"/>
        </w:rPr>
      </w:pPr>
      <w:r>
        <w:rPr>
          <w:rFonts w:hint="eastAsia" w:asciiTheme="minorEastAsia" w:hAnsiTheme="minorEastAsia" w:eastAsiaTheme="minorEastAsia" w:cstheme="minorEastAsia"/>
          <w:snapToGrid w:val="0"/>
          <w:color w:val="auto"/>
          <w:kern w:val="0"/>
          <w:sz w:val="24"/>
          <w:highlight w:val="none"/>
        </w:rPr>
        <w:t>表</w:t>
      </w:r>
      <w:r>
        <w:rPr>
          <w:rFonts w:hint="eastAsia" w:ascii="Times New Roman" w:hAnsi="Times New Roman" w:eastAsia="宋体" w:cs="宋体"/>
          <w:snapToGrid w:val="0"/>
          <w:color w:val="auto"/>
          <w:kern w:val="0"/>
          <w:sz w:val="24"/>
          <w:szCs w:val="20"/>
          <w:highlight w:val="none"/>
          <w:lang w:val="en-US" w:eastAsia="zh-CN" w:bidi="ar-SA"/>
        </w:rPr>
        <w:t xml:space="preserve">8-4 </w:t>
      </w:r>
      <w:r>
        <w:rPr>
          <w:rFonts w:hint="eastAsia" w:asciiTheme="minorEastAsia" w:hAnsiTheme="minorEastAsia" w:eastAsiaTheme="minorEastAsia" w:cstheme="minorEastAsia"/>
          <w:snapToGrid w:val="0"/>
          <w:color w:val="auto"/>
          <w:kern w:val="0"/>
          <w:sz w:val="24"/>
          <w:highlight w:val="none"/>
        </w:rPr>
        <w:t xml:space="preserve">  工程建设征地投资概算表</w:t>
      </w:r>
    </w:p>
    <w:tbl>
      <w:tblPr>
        <w:tblStyle w:val="23"/>
        <w:tblW w:w="5000" w:type="pct"/>
        <w:tblInd w:w="0" w:type="dxa"/>
        <w:tblLayout w:type="autofit"/>
        <w:tblCellMar>
          <w:top w:w="0" w:type="dxa"/>
          <w:left w:w="108" w:type="dxa"/>
          <w:bottom w:w="0" w:type="dxa"/>
          <w:right w:w="108" w:type="dxa"/>
        </w:tblCellMar>
      </w:tblPr>
      <w:tblGrid>
        <w:gridCol w:w="3083"/>
        <w:gridCol w:w="1060"/>
        <w:gridCol w:w="1237"/>
        <w:gridCol w:w="1374"/>
        <w:gridCol w:w="1768"/>
      </w:tblGrid>
      <w:tr>
        <w:trPr>
          <w:trHeight w:val="285" w:hRule="atLeast"/>
          <w:tblHeader/>
        </w:trPr>
        <w:tc>
          <w:tcPr>
            <w:tcW w:w="180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default"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项目</w:t>
            </w:r>
          </w:p>
        </w:tc>
        <w:tc>
          <w:tcPr>
            <w:tcW w:w="622" w:type="pct"/>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单位</w:t>
            </w:r>
          </w:p>
        </w:tc>
        <w:tc>
          <w:tcPr>
            <w:tcW w:w="726" w:type="pct"/>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数量</w:t>
            </w:r>
          </w:p>
        </w:tc>
        <w:tc>
          <w:tcPr>
            <w:tcW w:w="806" w:type="pct"/>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单价（元）</w:t>
            </w:r>
          </w:p>
        </w:tc>
        <w:tc>
          <w:tcPr>
            <w:tcW w:w="1037" w:type="pct"/>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投资 （万元）</w:t>
            </w:r>
          </w:p>
        </w:tc>
      </w:tr>
      <w:tr>
        <w:tblPrEx>
          <w:tblCellMar>
            <w:top w:w="0" w:type="dxa"/>
            <w:left w:w="108" w:type="dxa"/>
            <w:bottom w:w="0" w:type="dxa"/>
            <w:right w:w="108" w:type="dxa"/>
          </w:tblCellMar>
        </w:tblPrEx>
        <w:trPr>
          <w:trHeight w:val="285" w:hRule="atLeast"/>
        </w:trPr>
        <w:tc>
          <w:tcPr>
            <w:tcW w:w="1809" w:type="pct"/>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一、永久征地补偿费</w:t>
            </w:r>
          </w:p>
        </w:tc>
        <w:tc>
          <w:tcPr>
            <w:tcW w:w="622"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w:t>
            </w:r>
          </w:p>
        </w:tc>
        <w:tc>
          <w:tcPr>
            <w:tcW w:w="726"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w:t>
            </w:r>
          </w:p>
        </w:tc>
        <w:tc>
          <w:tcPr>
            <w:tcW w:w="806"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w:t>
            </w:r>
          </w:p>
        </w:tc>
        <w:tc>
          <w:tcPr>
            <w:tcW w:w="1037"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xml:space="preserve">7.06 </w:t>
            </w:r>
          </w:p>
        </w:tc>
      </w:tr>
      <w:tr>
        <w:tblPrEx>
          <w:tblCellMar>
            <w:top w:w="0" w:type="dxa"/>
            <w:left w:w="108" w:type="dxa"/>
            <w:bottom w:w="0" w:type="dxa"/>
            <w:right w:w="108" w:type="dxa"/>
          </w:tblCellMar>
        </w:tblPrEx>
        <w:trPr>
          <w:trHeight w:val="285" w:hRule="atLeast"/>
        </w:trPr>
        <w:tc>
          <w:tcPr>
            <w:tcW w:w="1809" w:type="pct"/>
            <w:tcBorders>
              <w:top w:val="nil"/>
              <w:left w:val="single" w:color="auto" w:sz="4" w:space="0"/>
              <w:bottom w:val="nil"/>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xml:space="preserve">    1、林地</w:t>
            </w:r>
          </w:p>
        </w:tc>
        <w:tc>
          <w:tcPr>
            <w:tcW w:w="622"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xml:space="preserve">亩 </w:t>
            </w:r>
          </w:p>
        </w:tc>
        <w:tc>
          <w:tcPr>
            <w:tcW w:w="726"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xml:space="preserve">3.22 </w:t>
            </w:r>
          </w:p>
        </w:tc>
        <w:tc>
          <w:tcPr>
            <w:tcW w:w="806"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13500</w:t>
            </w:r>
          </w:p>
        </w:tc>
        <w:tc>
          <w:tcPr>
            <w:tcW w:w="1037"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xml:space="preserve">4.35 </w:t>
            </w:r>
          </w:p>
        </w:tc>
      </w:tr>
      <w:tr>
        <w:trPr>
          <w:trHeight w:val="285" w:hRule="atLeast"/>
        </w:trPr>
        <w:tc>
          <w:tcPr>
            <w:tcW w:w="180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xml:space="preserve">    2、农村宅基地</w:t>
            </w:r>
          </w:p>
        </w:tc>
        <w:tc>
          <w:tcPr>
            <w:tcW w:w="622"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xml:space="preserve">亩 </w:t>
            </w:r>
          </w:p>
        </w:tc>
        <w:tc>
          <w:tcPr>
            <w:tcW w:w="726"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xml:space="preserve">0.52 </w:t>
            </w:r>
          </w:p>
        </w:tc>
        <w:tc>
          <w:tcPr>
            <w:tcW w:w="806"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19400</w:t>
            </w:r>
          </w:p>
        </w:tc>
        <w:tc>
          <w:tcPr>
            <w:tcW w:w="1037"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xml:space="preserve">1.01 </w:t>
            </w:r>
          </w:p>
        </w:tc>
      </w:tr>
      <w:tr>
        <w:trPr>
          <w:trHeight w:val="285" w:hRule="atLeast"/>
        </w:trPr>
        <w:tc>
          <w:tcPr>
            <w:tcW w:w="1809" w:type="pct"/>
            <w:tcBorders>
              <w:top w:val="nil"/>
              <w:left w:val="single" w:color="auto" w:sz="4" w:space="0"/>
              <w:bottom w:val="nil"/>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xml:space="preserve">    3、留用地（13%)</w:t>
            </w:r>
          </w:p>
        </w:tc>
        <w:tc>
          <w:tcPr>
            <w:tcW w:w="622"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xml:space="preserve">亩 </w:t>
            </w:r>
          </w:p>
        </w:tc>
        <w:tc>
          <w:tcPr>
            <w:tcW w:w="726"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xml:space="preserve">0.49 </w:t>
            </w:r>
          </w:p>
        </w:tc>
        <w:tc>
          <w:tcPr>
            <w:tcW w:w="806"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35000</w:t>
            </w:r>
          </w:p>
        </w:tc>
        <w:tc>
          <w:tcPr>
            <w:tcW w:w="1037"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xml:space="preserve">1.70 </w:t>
            </w:r>
          </w:p>
        </w:tc>
      </w:tr>
      <w:tr>
        <w:tblPrEx>
          <w:tblCellMar>
            <w:top w:w="0" w:type="dxa"/>
            <w:left w:w="108" w:type="dxa"/>
            <w:bottom w:w="0" w:type="dxa"/>
            <w:right w:w="108" w:type="dxa"/>
          </w:tblCellMar>
        </w:tblPrEx>
        <w:trPr>
          <w:trHeight w:val="285" w:hRule="atLeast"/>
        </w:trPr>
        <w:tc>
          <w:tcPr>
            <w:tcW w:w="180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二、临时征地补偿费</w:t>
            </w:r>
          </w:p>
        </w:tc>
        <w:tc>
          <w:tcPr>
            <w:tcW w:w="622"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w:t>
            </w:r>
          </w:p>
        </w:tc>
        <w:tc>
          <w:tcPr>
            <w:tcW w:w="726"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w:t>
            </w:r>
          </w:p>
        </w:tc>
        <w:tc>
          <w:tcPr>
            <w:tcW w:w="806"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w:t>
            </w:r>
          </w:p>
        </w:tc>
        <w:tc>
          <w:tcPr>
            <w:tcW w:w="1037"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xml:space="preserve">8.51 </w:t>
            </w:r>
          </w:p>
        </w:tc>
      </w:tr>
      <w:tr>
        <w:tblPrEx>
          <w:tblCellMar>
            <w:top w:w="0" w:type="dxa"/>
            <w:left w:w="108" w:type="dxa"/>
            <w:bottom w:w="0" w:type="dxa"/>
            <w:right w:w="108" w:type="dxa"/>
          </w:tblCellMar>
        </w:tblPrEx>
        <w:trPr>
          <w:trHeight w:val="285" w:hRule="atLeast"/>
        </w:trPr>
        <w:tc>
          <w:tcPr>
            <w:tcW w:w="1809" w:type="pct"/>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xml:space="preserve">    1、林地</w:t>
            </w:r>
          </w:p>
        </w:tc>
        <w:tc>
          <w:tcPr>
            <w:tcW w:w="622"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xml:space="preserve">亩 </w:t>
            </w:r>
          </w:p>
        </w:tc>
        <w:tc>
          <w:tcPr>
            <w:tcW w:w="726"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xml:space="preserve">1.45 </w:t>
            </w:r>
          </w:p>
        </w:tc>
        <w:tc>
          <w:tcPr>
            <w:tcW w:w="806"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xml:space="preserve">3500 </w:t>
            </w:r>
          </w:p>
        </w:tc>
        <w:tc>
          <w:tcPr>
            <w:tcW w:w="1037"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xml:space="preserve">7.61 </w:t>
            </w:r>
          </w:p>
        </w:tc>
      </w:tr>
      <w:tr>
        <w:trPr>
          <w:trHeight w:val="285" w:hRule="atLeast"/>
        </w:trPr>
        <w:tc>
          <w:tcPr>
            <w:tcW w:w="1809" w:type="pct"/>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xml:space="preserve">    2、空闲地</w:t>
            </w:r>
          </w:p>
        </w:tc>
        <w:tc>
          <w:tcPr>
            <w:tcW w:w="622"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xml:space="preserve">亩 </w:t>
            </w:r>
          </w:p>
        </w:tc>
        <w:tc>
          <w:tcPr>
            <w:tcW w:w="726"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xml:space="preserve">0.90 </w:t>
            </w:r>
          </w:p>
        </w:tc>
        <w:tc>
          <w:tcPr>
            <w:tcW w:w="806"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xml:space="preserve">10000 </w:t>
            </w:r>
          </w:p>
        </w:tc>
        <w:tc>
          <w:tcPr>
            <w:tcW w:w="1037"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xml:space="preserve">0.90 </w:t>
            </w:r>
          </w:p>
        </w:tc>
      </w:tr>
      <w:tr>
        <w:trPr>
          <w:trHeight w:val="285" w:hRule="atLeast"/>
        </w:trPr>
        <w:tc>
          <w:tcPr>
            <w:tcW w:w="1809" w:type="pct"/>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三、房屋拆除</w:t>
            </w:r>
          </w:p>
        </w:tc>
        <w:tc>
          <w:tcPr>
            <w:tcW w:w="622"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m2</w:t>
            </w:r>
          </w:p>
        </w:tc>
        <w:tc>
          <w:tcPr>
            <w:tcW w:w="726"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w:t>
            </w:r>
          </w:p>
        </w:tc>
        <w:tc>
          <w:tcPr>
            <w:tcW w:w="806"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w:t>
            </w:r>
          </w:p>
        </w:tc>
        <w:tc>
          <w:tcPr>
            <w:tcW w:w="1037"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xml:space="preserve">4.33 </w:t>
            </w:r>
          </w:p>
        </w:tc>
      </w:tr>
      <w:tr>
        <w:tblPrEx>
          <w:tblCellMar>
            <w:top w:w="0" w:type="dxa"/>
            <w:left w:w="108" w:type="dxa"/>
            <w:bottom w:w="0" w:type="dxa"/>
            <w:right w:w="108" w:type="dxa"/>
          </w:tblCellMar>
        </w:tblPrEx>
        <w:trPr>
          <w:trHeight w:val="285" w:hRule="atLeast"/>
        </w:trPr>
        <w:tc>
          <w:tcPr>
            <w:tcW w:w="1809" w:type="pct"/>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xml:space="preserve">    1、简易棚房</w:t>
            </w:r>
          </w:p>
        </w:tc>
        <w:tc>
          <w:tcPr>
            <w:tcW w:w="622"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m2</w:t>
            </w:r>
          </w:p>
        </w:tc>
        <w:tc>
          <w:tcPr>
            <w:tcW w:w="726"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xml:space="preserve">96.29 </w:t>
            </w:r>
          </w:p>
        </w:tc>
        <w:tc>
          <w:tcPr>
            <w:tcW w:w="806"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xml:space="preserve">450 </w:t>
            </w:r>
          </w:p>
        </w:tc>
        <w:tc>
          <w:tcPr>
            <w:tcW w:w="1037"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xml:space="preserve">4.33 </w:t>
            </w:r>
          </w:p>
        </w:tc>
      </w:tr>
      <w:tr>
        <w:tblPrEx>
          <w:tblCellMar>
            <w:top w:w="0" w:type="dxa"/>
            <w:left w:w="108" w:type="dxa"/>
            <w:bottom w:w="0" w:type="dxa"/>
            <w:right w:w="108" w:type="dxa"/>
          </w:tblCellMar>
        </w:tblPrEx>
        <w:trPr>
          <w:trHeight w:val="285" w:hRule="atLeast"/>
        </w:trPr>
        <w:tc>
          <w:tcPr>
            <w:tcW w:w="1809" w:type="pct"/>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四、专项设施补偿费</w:t>
            </w:r>
          </w:p>
        </w:tc>
        <w:tc>
          <w:tcPr>
            <w:tcW w:w="622"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w:t>
            </w:r>
          </w:p>
        </w:tc>
        <w:tc>
          <w:tcPr>
            <w:tcW w:w="726"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w:t>
            </w:r>
          </w:p>
        </w:tc>
        <w:tc>
          <w:tcPr>
            <w:tcW w:w="806"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w:t>
            </w:r>
          </w:p>
        </w:tc>
        <w:tc>
          <w:tcPr>
            <w:tcW w:w="1037"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xml:space="preserve">2.00 </w:t>
            </w:r>
          </w:p>
        </w:tc>
      </w:tr>
      <w:tr>
        <w:trPr>
          <w:trHeight w:val="285" w:hRule="atLeast"/>
        </w:trPr>
        <w:tc>
          <w:tcPr>
            <w:tcW w:w="1809" w:type="pct"/>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xml:space="preserve">    1、坟墓</w:t>
            </w:r>
          </w:p>
        </w:tc>
        <w:tc>
          <w:tcPr>
            <w:tcW w:w="622"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座</w:t>
            </w:r>
          </w:p>
        </w:tc>
        <w:tc>
          <w:tcPr>
            <w:tcW w:w="726"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xml:space="preserve">1 </w:t>
            </w:r>
          </w:p>
        </w:tc>
        <w:tc>
          <w:tcPr>
            <w:tcW w:w="806"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xml:space="preserve">20000 </w:t>
            </w:r>
          </w:p>
        </w:tc>
        <w:tc>
          <w:tcPr>
            <w:tcW w:w="1037"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xml:space="preserve">2.00 </w:t>
            </w:r>
          </w:p>
        </w:tc>
      </w:tr>
      <w:tr>
        <w:trPr>
          <w:trHeight w:val="285" w:hRule="atLeast"/>
        </w:trPr>
        <w:tc>
          <w:tcPr>
            <w:tcW w:w="1809" w:type="pct"/>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五、直接费</w:t>
            </w:r>
          </w:p>
        </w:tc>
        <w:tc>
          <w:tcPr>
            <w:tcW w:w="622"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w:t>
            </w:r>
          </w:p>
        </w:tc>
        <w:tc>
          <w:tcPr>
            <w:tcW w:w="726"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w:t>
            </w:r>
          </w:p>
        </w:tc>
        <w:tc>
          <w:tcPr>
            <w:tcW w:w="806"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w:t>
            </w:r>
          </w:p>
        </w:tc>
        <w:tc>
          <w:tcPr>
            <w:tcW w:w="1037"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xml:space="preserve">21.90 </w:t>
            </w:r>
          </w:p>
        </w:tc>
      </w:tr>
      <w:tr>
        <w:tblPrEx>
          <w:tblCellMar>
            <w:top w:w="0" w:type="dxa"/>
            <w:left w:w="108" w:type="dxa"/>
            <w:bottom w:w="0" w:type="dxa"/>
            <w:right w:w="108" w:type="dxa"/>
          </w:tblCellMar>
        </w:tblPrEx>
        <w:trPr>
          <w:trHeight w:val="285" w:hRule="atLeast"/>
        </w:trPr>
        <w:tc>
          <w:tcPr>
            <w:tcW w:w="1809" w:type="pct"/>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六、其他费用</w:t>
            </w:r>
          </w:p>
        </w:tc>
        <w:tc>
          <w:tcPr>
            <w:tcW w:w="622"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w:t>
            </w:r>
          </w:p>
        </w:tc>
        <w:tc>
          <w:tcPr>
            <w:tcW w:w="726"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w:t>
            </w:r>
          </w:p>
        </w:tc>
        <w:tc>
          <w:tcPr>
            <w:tcW w:w="806"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w:t>
            </w:r>
          </w:p>
        </w:tc>
        <w:tc>
          <w:tcPr>
            <w:tcW w:w="1037"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xml:space="preserve">4.44 </w:t>
            </w:r>
          </w:p>
        </w:tc>
      </w:tr>
      <w:tr>
        <w:tblPrEx>
          <w:tblCellMar>
            <w:top w:w="0" w:type="dxa"/>
            <w:left w:w="108" w:type="dxa"/>
            <w:bottom w:w="0" w:type="dxa"/>
            <w:right w:w="108" w:type="dxa"/>
          </w:tblCellMar>
        </w:tblPrEx>
        <w:trPr>
          <w:trHeight w:val="315" w:hRule="atLeast"/>
        </w:trPr>
        <w:tc>
          <w:tcPr>
            <w:tcW w:w="1809" w:type="pct"/>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default" w:ascii="Times New Roman" w:hAnsi="Times New Roman" w:eastAsia="宋体" w:cs="Times New Roman"/>
                <w:color w:val="auto"/>
                <w:kern w:val="0"/>
                <w:sz w:val="21"/>
                <w:szCs w:val="18"/>
                <w:highlight w:val="none"/>
              </w:rPr>
              <w:t xml:space="preserve">      1</w:t>
            </w:r>
            <w:r>
              <w:rPr>
                <w:rFonts w:hint="eastAsia" w:ascii="Times New Roman" w:hAnsi="Times New Roman" w:eastAsia="宋体" w:cs="Times New Roman"/>
                <w:color w:val="auto"/>
                <w:kern w:val="0"/>
                <w:sz w:val="21"/>
                <w:szCs w:val="18"/>
                <w:highlight w:val="none"/>
              </w:rPr>
              <w:t>、前期工作费</w:t>
            </w:r>
          </w:p>
        </w:tc>
        <w:tc>
          <w:tcPr>
            <w:tcW w:w="622"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default"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w:t>
            </w:r>
          </w:p>
        </w:tc>
        <w:tc>
          <w:tcPr>
            <w:tcW w:w="726"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w:t>
            </w:r>
          </w:p>
        </w:tc>
        <w:tc>
          <w:tcPr>
            <w:tcW w:w="806"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w:t>
            </w:r>
          </w:p>
        </w:tc>
        <w:tc>
          <w:tcPr>
            <w:tcW w:w="1037"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xml:space="preserve">0.55 </w:t>
            </w:r>
          </w:p>
        </w:tc>
      </w:tr>
      <w:tr>
        <w:trPr>
          <w:trHeight w:val="315" w:hRule="atLeast"/>
        </w:trPr>
        <w:tc>
          <w:tcPr>
            <w:tcW w:w="1809" w:type="pct"/>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default" w:ascii="Times New Roman" w:hAnsi="Times New Roman" w:eastAsia="宋体" w:cs="Times New Roman"/>
                <w:color w:val="auto"/>
                <w:kern w:val="0"/>
                <w:sz w:val="21"/>
                <w:szCs w:val="18"/>
                <w:highlight w:val="none"/>
              </w:rPr>
              <w:t xml:space="preserve">      2</w:t>
            </w:r>
            <w:r>
              <w:rPr>
                <w:rFonts w:hint="eastAsia" w:ascii="Times New Roman" w:hAnsi="Times New Roman" w:eastAsia="宋体" w:cs="Times New Roman"/>
                <w:color w:val="auto"/>
                <w:kern w:val="0"/>
                <w:sz w:val="21"/>
                <w:szCs w:val="18"/>
                <w:highlight w:val="none"/>
              </w:rPr>
              <w:t>、勘测设计费</w:t>
            </w:r>
          </w:p>
        </w:tc>
        <w:tc>
          <w:tcPr>
            <w:tcW w:w="622"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default"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w:t>
            </w:r>
          </w:p>
        </w:tc>
        <w:tc>
          <w:tcPr>
            <w:tcW w:w="726"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w:t>
            </w:r>
          </w:p>
        </w:tc>
        <w:tc>
          <w:tcPr>
            <w:tcW w:w="806"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w:t>
            </w:r>
          </w:p>
        </w:tc>
        <w:tc>
          <w:tcPr>
            <w:tcW w:w="1037"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xml:space="preserve">0.72 </w:t>
            </w:r>
          </w:p>
        </w:tc>
      </w:tr>
      <w:tr>
        <w:trPr>
          <w:trHeight w:val="315" w:hRule="atLeast"/>
        </w:trPr>
        <w:tc>
          <w:tcPr>
            <w:tcW w:w="1809" w:type="pct"/>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default" w:ascii="Times New Roman" w:hAnsi="Times New Roman" w:eastAsia="宋体" w:cs="Times New Roman"/>
                <w:color w:val="auto"/>
                <w:kern w:val="0"/>
                <w:sz w:val="21"/>
                <w:szCs w:val="18"/>
                <w:highlight w:val="none"/>
              </w:rPr>
              <w:t xml:space="preserve">      3</w:t>
            </w:r>
            <w:r>
              <w:rPr>
                <w:rFonts w:hint="eastAsia" w:ascii="Times New Roman" w:hAnsi="Times New Roman" w:eastAsia="宋体" w:cs="Times New Roman"/>
                <w:color w:val="auto"/>
                <w:kern w:val="0"/>
                <w:sz w:val="21"/>
                <w:szCs w:val="18"/>
                <w:highlight w:val="none"/>
              </w:rPr>
              <w:t>、实施管理费</w:t>
            </w:r>
          </w:p>
        </w:tc>
        <w:tc>
          <w:tcPr>
            <w:tcW w:w="622"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default"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w:t>
            </w:r>
          </w:p>
        </w:tc>
        <w:tc>
          <w:tcPr>
            <w:tcW w:w="726"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w:t>
            </w:r>
          </w:p>
        </w:tc>
        <w:tc>
          <w:tcPr>
            <w:tcW w:w="806"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w:t>
            </w:r>
          </w:p>
        </w:tc>
        <w:tc>
          <w:tcPr>
            <w:tcW w:w="1037"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xml:space="preserve">1.10 </w:t>
            </w:r>
          </w:p>
        </w:tc>
      </w:tr>
      <w:tr>
        <w:tblPrEx>
          <w:tblCellMar>
            <w:top w:w="0" w:type="dxa"/>
            <w:left w:w="108" w:type="dxa"/>
            <w:bottom w:w="0" w:type="dxa"/>
            <w:right w:w="108" w:type="dxa"/>
          </w:tblCellMar>
        </w:tblPrEx>
        <w:trPr>
          <w:trHeight w:val="315" w:hRule="atLeast"/>
        </w:trPr>
        <w:tc>
          <w:tcPr>
            <w:tcW w:w="1809" w:type="pct"/>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default" w:ascii="Times New Roman" w:hAnsi="Times New Roman" w:eastAsia="宋体" w:cs="Times New Roman"/>
                <w:color w:val="auto"/>
                <w:kern w:val="0"/>
                <w:sz w:val="21"/>
                <w:szCs w:val="18"/>
                <w:highlight w:val="none"/>
              </w:rPr>
              <w:t xml:space="preserve">      4</w:t>
            </w:r>
            <w:r>
              <w:rPr>
                <w:rFonts w:hint="eastAsia" w:ascii="Times New Roman" w:hAnsi="Times New Roman" w:eastAsia="宋体" w:cs="Times New Roman"/>
                <w:color w:val="auto"/>
                <w:kern w:val="0"/>
                <w:sz w:val="21"/>
                <w:szCs w:val="18"/>
                <w:highlight w:val="none"/>
              </w:rPr>
              <w:t>、监督费</w:t>
            </w:r>
          </w:p>
        </w:tc>
        <w:tc>
          <w:tcPr>
            <w:tcW w:w="622"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default"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w:t>
            </w:r>
          </w:p>
        </w:tc>
        <w:tc>
          <w:tcPr>
            <w:tcW w:w="726"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w:t>
            </w:r>
          </w:p>
        </w:tc>
        <w:tc>
          <w:tcPr>
            <w:tcW w:w="806"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w:t>
            </w:r>
          </w:p>
        </w:tc>
        <w:tc>
          <w:tcPr>
            <w:tcW w:w="1037"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xml:space="preserve">0.42 </w:t>
            </w:r>
          </w:p>
        </w:tc>
      </w:tr>
      <w:tr>
        <w:tblPrEx>
          <w:tblCellMar>
            <w:top w:w="0" w:type="dxa"/>
            <w:left w:w="108" w:type="dxa"/>
            <w:bottom w:w="0" w:type="dxa"/>
            <w:right w:w="108" w:type="dxa"/>
          </w:tblCellMar>
        </w:tblPrEx>
        <w:trPr>
          <w:trHeight w:val="315" w:hRule="atLeast"/>
        </w:trPr>
        <w:tc>
          <w:tcPr>
            <w:tcW w:w="1809" w:type="pct"/>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default" w:ascii="Times New Roman" w:hAnsi="Times New Roman" w:eastAsia="宋体" w:cs="Times New Roman"/>
                <w:color w:val="auto"/>
                <w:kern w:val="0"/>
                <w:sz w:val="21"/>
                <w:szCs w:val="18"/>
                <w:highlight w:val="none"/>
              </w:rPr>
              <w:t xml:space="preserve">      5</w:t>
            </w:r>
            <w:r>
              <w:rPr>
                <w:rFonts w:hint="eastAsia" w:ascii="Times New Roman" w:hAnsi="Times New Roman" w:eastAsia="宋体" w:cs="Times New Roman"/>
                <w:color w:val="auto"/>
                <w:kern w:val="0"/>
                <w:sz w:val="21"/>
                <w:szCs w:val="18"/>
                <w:highlight w:val="none"/>
              </w:rPr>
              <w:t>、科研费</w:t>
            </w:r>
          </w:p>
        </w:tc>
        <w:tc>
          <w:tcPr>
            <w:tcW w:w="622"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default"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w:t>
            </w:r>
          </w:p>
        </w:tc>
        <w:tc>
          <w:tcPr>
            <w:tcW w:w="726"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w:t>
            </w:r>
          </w:p>
        </w:tc>
        <w:tc>
          <w:tcPr>
            <w:tcW w:w="806"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w:t>
            </w:r>
          </w:p>
        </w:tc>
        <w:tc>
          <w:tcPr>
            <w:tcW w:w="1037"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xml:space="preserve">0.04 </w:t>
            </w:r>
          </w:p>
        </w:tc>
      </w:tr>
      <w:tr>
        <w:trPr>
          <w:trHeight w:val="315" w:hRule="atLeast"/>
        </w:trPr>
        <w:tc>
          <w:tcPr>
            <w:tcW w:w="1809" w:type="pct"/>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default" w:ascii="Times New Roman" w:hAnsi="Times New Roman" w:eastAsia="宋体" w:cs="Times New Roman"/>
                <w:color w:val="auto"/>
                <w:kern w:val="0"/>
                <w:sz w:val="21"/>
                <w:szCs w:val="18"/>
                <w:highlight w:val="none"/>
              </w:rPr>
              <w:t xml:space="preserve">      6</w:t>
            </w:r>
            <w:r>
              <w:rPr>
                <w:rFonts w:hint="eastAsia" w:ascii="Times New Roman" w:hAnsi="Times New Roman" w:eastAsia="宋体" w:cs="Times New Roman"/>
                <w:color w:val="auto"/>
                <w:kern w:val="0"/>
                <w:sz w:val="21"/>
                <w:szCs w:val="18"/>
                <w:highlight w:val="none"/>
              </w:rPr>
              <w:t>、土地勘测定界费</w:t>
            </w:r>
          </w:p>
        </w:tc>
        <w:tc>
          <w:tcPr>
            <w:tcW w:w="622"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default"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w:t>
            </w:r>
          </w:p>
        </w:tc>
        <w:tc>
          <w:tcPr>
            <w:tcW w:w="726"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w:t>
            </w:r>
          </w:p>
        </w:tc>
        <w:tc>
          <w:tcPr>
            <w:tcW w:w="806"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w:t>
            </w:r>
          </w:p>
        </w:tc>
        <w:tc>
          <w:tcPr>
            <w:tcW w:w="1037"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xml:space="preserve">1.62 </w:t>
            </w:r>
          </w:p>
        </w:tc>
      </w:tr>
      <w:tr>
        <w:trPr>
          <w:trHeight w:val="285" w:hRule="atLeast"/>
        </w:trPr>
        <w:tc>
          <w:tcPr>
            <w:tcW w:w="1809" w:type="pct"/>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七、基本预备费</w:t>
            </w:r>
          </w:p>
        </w:tc>
        <w:tc>
          <w:tcPr>
            <w:tcW w:w="622"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w:t>
            </w:r>
          </w:p>
        </w:tc>
        <w:tc>
          <w:tcPr>
            <w:tcW w:w="726"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w:t>
            </w:r>
          </w:p>
        </w:tc>
        <w:tc>
          <w:tcPr>
            <w:tcW w:w="806"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w:t>
            </w:r>
          </w:p>
        </w:tc>
        <w:tc>
          <w:tcPr>
            <w:tcW w:w="1037"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xml:space="preserve">2.55 </w:t>
            </w:r>
          </w:p>
        </w:tc>
      </w:tr>
      <w:tr>
        <w:tblPrEx>
          <w:tblCellMar>
            <w:top w:w="0" w:type="dxa"/>
            <w:left w:w="108" w:type="dxa"/>
            <w:bottom w:w="0" w:type="dxa"/>
            <w:right w:w="108" w:type="dxa"/>
          </w:tblCellMar>
        </w:tblPrEx>
        <w:trPr>
          <w:trHeight w:val="285" w:hRule="atLeast"/>
        </w:trPr>
        <w:tc>
          <w:tcPr>
            <w:tcW w:w="1809" w:type="pct"/>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八、有关税费</w:t>
            </w:r>
          </w:p>
        </w:tc>
        <w:tc>
          <w:tcPr>
            <w:tcW w:w="622"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w:t>
            </w:r>
          </w:p>
        </w:tc>
        <w:tc>
          <w:tcPr>
            <w:tcW w:w="726"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w:t>
            </w:r>
          </w:p>
        </w:tc>
        <w:tc>
          <w:tcPr>
            <w:tcW w:w="806"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w:t>
            </w:r>
          </w:p>
        </w:tc>
        <w:tc>
          <w:tcPr>
            <w:tcW w:w="1037"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xml:space="preserve">5.06 </w:t>
            </w:r>
          </w:p>
        </w:tc>
      </w:tr>
      <w:tr>
        <w:tblPrEx>
          <w:tblCellMar>
            <w:top w:w="0" w:type="dxa"/>
            <w:left w:w="108" w:type="dxa"/>
            <w:bottom w:w="0" w:type="dxa"/>
            <w:right w:w="108" w:type="dxa"/>
          </w:tblCellMar>
        </w:tblPrEx>
        <w:trPr>
          <w:trHeight w:val="315" w:hRule="atLeast"/>
        </w:trPr>
        <w:tc>
          <w:tcPr>
            <w:tcW w:w="1809" w:type="pct"/>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default" w:ascii="Times New Roman" w:hAnsi="Times New Roman" w:eastAsia="宋体" w:cs="Times New Roman"/>
                <w:color w:val="auto"/>
                <w:kern w:val="0"/>
                <w:sz w:val="21"/>
                <w:szCs w:val="18"/>
                <w:highlight w:val="none"/>
              </w:rPr>
              <w:t xml:space="preserve">      1</w:t>
            </w:r>
            <w:r>
              <w:rPr>
                <w:rFonts w:hint="eastAsia" w:ascii="Times New Roman" w:hAnsi="Times New Roman" w:eastAsia="宋体" w:cs="Times New Roman"/>
                <w:color w:val="auto"/>
                <w:kern w:val="0"/>
                <w:sz w:val="21"/>
                <w:szCs w:val="18"/>
                <w:highlight w:val="none"/>
              </w:rPr>
              <w:t>、森林植被恢复费</w:t>
            </w:r>
          </w:p>
        </w:tc>
        <w:tc>
          <w:tcPr>
            <w:tcW w:w="622"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default"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xml:space="preserve">亩 </w:t>
            </w:r>
          </w:p>
        </w:tc>
        <w:tc>
          <w:tcPr>
            <w:tcW w:w="726"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xml:space="preserve">4.67 </w:t>
            </w:r>
          </w:p>
        </w:tc>
        <w:tc>
          <w:tcPr>
            <w:tcW w:w="806"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xml:space="preserve">6670 </w:t>
            </w:r>
          </w:p>
        </w:tc>
        <w:tc>
          <w:tcPr>
            <w:tcW w:w="1037"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xml:space="preserve">3.11 </w:t>
            </w:r>
          </w:p>
        </w:tc>
      </w:tr>
      <w:tr>
        <w:trPr>
          <w:trHeight w:val="315" w:hRule="atLeast"/>
        </w:trPr>
        <w:tc>
          <w:tcPr>
            <w:tcW w:w="1809" w:type="pct"/>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default" w:ascii="Times New Roman" w:hAnsi="Times New Roman" w:eastAsia="宋体" w:cs="Times New Roman"/>
                <w:color w:val="auto"/>
                <w:kern w:val="0"/>
                <w:sz w:val="21"/>
                <w:szCs w:val="18"/>
                <w:highlight w:val="none"/>
              </w:rPr>
              <w:t xml:space="preserve">      2</w:t>
            </w:r>
            <w:r>
              <w:rPr>
                <w:rFonts w:hint="eastAsia" w:ascii="Times New Roman" w:hAnsi="Times New Roman" w:eastAsia="宋体" w:cs="Times New Roman"/>
                <w:color w:val="auto"/>
                <w:kern w:val="0"/>
                <w:sz w:val="21"/>
                <w:szCs w:val="18"/>
                <w:highlight w:val="none"/>
              </w:rPr>
              <w:t>、养老保险金</w:t>
            </w:r>
          </w:p>
        </w:tc>
        <w:tc>
          <w:tcPr>
            <w:tcW w:w="622"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default"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xml:space="preserve">亩 </w:t>
            </w:r>
          </w:p>
        </w:tc>
        <w:tc>
          <w:tcPr>
            <w:tcW w:w="726"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xml:space="preserve">3.74 </w:t>
            </w:r>
          </w:p>
        </w:tc>
        <w:tc>
          <w:tcPr>
            <w:tcW w:w="806"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xml:space="preserve">3880 </w:t>
            </w:r>
          </w:p>
        </w:tc>
        <w:tc>
          <w:tcPr>
            <w:tcW w:w="1037"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xml:space="preserve">1.45 </w:t>
            </w:r>
          </w:p>
        </w:tc>
      </w:tr>
      <w:tr>
        <w:trPr>
          <w:trHeight w:val="315" w:hRule="atLeast"/>
        </w:trPr>
        <w:tc>
          <w:tcPr>
            <w:tcW w:w="1809" w:type="pct"/>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default" w:ascii="Times New Roman" w:hAnsi="Times New Roman" w:eastAsia="宋体" w:cs="Times New Roman"/>
                <w:color w:val="auto"/>
                <w:kern w:val="0"/>
                <w:sz w:val="21"/>
                <w:szCs w:val="18"/>
                <w:highlight w:val="none"/>
              </w:rPr>
              <w:t xml:space="preserve">      3</w:t>
            </w:r>
            <w:r>
              <w:rPr>
                <w:rFonts w:hint="eastAsia" w:ascii="Times New Roman" w:hAnsi="Times New Roman" w:eastAsia="宋体" w:cs="Times New Roman"/>
                <w:color w:val="auto"/>
                <w:kern w:val="0"/>
                <w:sz w:val="21"/>
                <w:szCs w:val="18"/>
                <w:highlight w:val="none"/>
              </w:rPr>
              <w:t>、耕地占用税</w:t>
            </w:r>
          </w:p>
        </w:tc>
        <w:tc>
          <w:tcPr>
            <w:tcW w:w="622"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default"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xml:space="preserve">亩 </w:t>
            </w:r>
          </w:p>
        </w:tc>
        <w:tc>
          <w:tcPr>
            <w:tcW w:w="726"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xml:space="preserve">3.74 </w:t>
            </w:r>
          </w:p>
        </w:tc>
        <w:tc>
          <w:tcPr>
            <w:tcW w:w="806"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xml:space="preserve">1334 </w:t>
            </w:r>
          </w:p>
        </w:tc>
        <w:tc>
          <w:tcPr>
            <w:tcW w:w="1037"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xml:space="preserve">0.50 </w:t>
            </w:r>
          </w:p>
        </w:tc>
      </w:tr>
      <w:tr>
        <w:tblPrEx>
          <w:tblCellMar>
            <w:top w:w="0" w:type="dxa"/>
            <w:left w:w="108" w:type="dxa"/>
            <w:bottom w:w="0" w:type="dxa"/>
            <w:right w:w="108" w:type="dxa"/>
          </w:tblCellMar>
        </w:tblPrEx>
        <w:trPr>
          <w:trHeight w:val="285" w:hRule="atLeast"/>
        </w:trPr>
        <w:tc>
          <w:tcPr>
            <w:tcW w:w="1809" w:type="pct"/>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九、投资合计</w:t>
            </w:r>
          </w:p>
        </w:tc>
        <w:tc>
          <w:tcPr>
            <w:tcW w:w="622"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w:t>
            </w:r>
          </w:p>
        </w:tc>
        <w:tc>
          <w:tcPr>
            <w:tcW w:w="726"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w:t>
            </w:r>
          </w:p>
        </w:tc>
        <w:tc>
          <w:tcPr>
            <w:tcW w:w="806"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w:t>
            </w:r>
          </w:p>
        </w:tc>
        <w:tc>
          <w:tcPr>
            <w:tcW w:w="1037" w:type="pct"/>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50" w:after="120" w:afterLines="50" w:line="0" w:lineRule="atLeast"/>
              <w:ind w:firstLine="0" w:firstLineChars="0"/>
              <w:jc w:val="center"/>
              <w:textAlignment w:val="auto"/>
              <w:rPr>
                <w:rFonts w:hint="eastAsia" w:ascii="Times New Roman" w:hAnsi="Times New Roman" w:eastAsia="宋体" w:cs="Times New Roman"/>
                <w:color w:val="auto"/>
                <w:kern w:val="0"/>
                <w:sz w:val="21"/>
                <w:szCs w:val="18"/>
                <w:highlight w:val="none"/>
              </w:rPr>
            </w:pPr>
            <w:r>
              <w:rPr>
                <w:rFonts w:hint="eastAsia" w:ascii="Times New Roman" w:hAnsi="Times New Roman" w:eastAsia="宋体" w:cs="Times New Roman"/>
                <w:color w:val="auto"/>
                <w:kern w:val="0"/>
                <w:sz w:val="21"/>
                <w:szCs w:val="18"/>
                <w:highlight w:val="none"/>
              </w:rPr>
              <w:t xml:space="preserve">33.96 </w:t>
            </w:r>
          </w:p>
        </w:tc>
      </w:tr>
    </w:tbl>
    <w:p>
      <w:pPr>
        <w:ind w:left="0" w:leftChars="0" w:firstLine="0" w:firstLineChars="0"/>
        <w:rPr>
          <w:rFonts w:hint="default"/>
          <w:color w:val="auto"/>
          <w:highlight w:val="none"/>
          <w:lang w:val="en-US" w:eastAsia="zh-CN"/>
        </w:rPr>
      </w:pPr>
    </w:p>
    <w:p>
      <w:pPr>
        <w:pStyle w:val="4"/>
        <w:bidi w:val="0"/>
        <w:rPr>
          <w:rFonts w:hint="eastAsia"/>
          <w:color w:val="auto"/>
          <w:highlight w:val="none"/>
          <w:lang w:val="en-US" w:eastAsia="zh-CN"/>
        </w:rPr>
      </w:pPr>
      <w:bookmarkStart w:id="72" w:name="_Toc929189858"/>
      <w:r>
        <w:rPr>
          <w:rFonts w:hint="eastAsia"/>
          <w:color w:val="auto"/>
          <w:highlight w:val="none"/>
          <w:lang w:val="en-US" w:eastAsia="zh-CN"/>
        </w:rPr>
        <w:t>1.9环境保护设计</w:t>
      </w:r>
      <w:bookmarkEnd w:id="72"/>
    </w:p>
    <w:p>
      <w:pPr>
        <w:bidi w:val="0"/>
        <w:rPr>
          <w:color w:val="auto"/>
          <w:highlight w:val="none"/>
        </w:rPr>
      </w:pPr>
      <w:r>
        <w:rPr>
          <w:rFonts w:hint="eastAsia"/>
          <w:color w:val="auto"/>
          <w:highlight w:val="none"/>
        </w:rPr>
        <w:t>根据《水利水电工程环境保护概（估）算编制规程》规定，凡为减免工程施工造成的环境影响而采取的环境保护措施、监测手段以及相应运行费，均列为环保投资。</w:t>
      </w:r>
    </w:p>
    <w:p>
      <w:pPr>
        <w:bidi w:val="0"/>
        <w:rPr>
          <w:color w:val="auto"/>
          <w:highlight w:val="none"/>
        </w:rPr>
      </w:pPr>
      <w:r>
        <w:rPr>
          <w:rFonts w:hint="eastAsia"/>
          <w:color w:val="auto"/>
          <w:highlight w:val="none"/>
        </w:rPr>
        <w:t>依据广东省水利厅发布的《关于发布我省水利水电工程设计概（估）算编制规定与系列定额的通知）》（粤水建管[2017]37 号）、《广东省水利水电设计概（估）酸工程编制规定》、《广东省水利水电建筑工程预算定额》，以及《水利水电工程环境保护设计概(估) 算编制规定》及环境监测等相关标准计算环境保护投资。</w:t>
      </w:r>
    </w:p>
    <w:p>
      <w:pPr>
        <w:bidi w:val="0"/>
        <w:rPr>
          <w:color w:val="auto"/>
          <w:highlight w:val="none"/>
        </w:rPr>
      </w:pPr>
      <w:r>
        <w:rPr>
          <w:rFonts w:hint="eastAsia"/>
          <w:color w:val="auto"/>
          <w:highlight w:val="none"/>
        </w:rPr>
        <w:t>本工程环境保护工程总投资为</w:t>
      </w:r>
      <w:r>
        <w:rPr>
          <w:color w:val="auto"/>
          <w:highlight w:val="none"/>
        </w:rPr>
        <w:t>17.04</w:t>
      </w:r>
      <w:r>
        <w:rPr>
          <w:rFonts w:hint="eastAsia"/>
          <w:color w:val="auto"/>
          <w:highlight w:val="none"/>
        </w:rPr>
        <w:t>万元。主要涉及的环保措施和相关工程量见表</w:t>
      </w:r>
      <w:r>
        <w:rPr>
          <w:rFonts w:hint="eastAsia"/>
          <w:color w:val="auto"/>
          <w:highlight w:val="none"/>
          <w:lang w:val="en-US" w:eastAsia="zh-CN"/>
        </w:rPr>
        <w:t>1.9</w:t>
      </w:r>
      <w:r>
        <w:rPr>
          <w:color w:val="auto"/>
          <w:highlight w:val="none"/>
        </w:rPr>
        <w:t>-1</w:t>
      </w:r>
      <w:r>
        <w:rPr>
          <w:rFonts w:hint="eastAsia"/>
          <w:color w:val="auto"/>
          <w:highlight w:val="none"/>
        </w:rPr>
        <w:t>。</w:t>
      </w:r>
    </w:p>
    <w:p>
      <w:pPr>
        <w:ind w:firstLine="0" w:firstLineChars="0"/>
        <w:jc w:val="center"/>
        <w:rPr>
          <w:color w:val="auto"/>
          <w:highlight w:val="none"/>
        </w:rPr>
      </w:pPr>
      <w:r>
        <w:rPr>
          <w:color w:val="auto"/>
          <w:highlight w:val="none"/>
        </w:rPr>
        <w:t>表</w:t>
      </w:r>
      <w:r>
        <w:rPr>
          <w:rFonts w:hint="eastAsia"/>
          <w:color w:val="auto"/>
          <w:highlight w:val="none"/>
          <w:lang w:val="en-US" w:eastAsia="zh-CN"/>
        </w:rPr>
        <w:t>1</w:t>
      </w:r>
      <w:r>
        <w:rPr>
          <w:color w:val="auto"/>
          <w:highlight w:val="none"/>
        </w:rPr>
        <w:t>.9-1  环境保护工程投资</w:t>
      </w:r>
    </w:p>
    <w:tbl>
      <w:tblPr>
        <w:tblStyle w:val="23"/>
        <w:tblW w:w="8663" w:type="dxa"/>
        <w:tblInd w:w="93" w:type="dxa"/>
        <w:tblLayout w:type="autofit"/>
        <w:tblCellMar>
          <w:top w:w="0" w:type="dxa"/>
          <w:left w:w="108" w:type="dxa"/>
          <w:bottom w:w="0" w:type="dxa"/>
          <w:right w:w="108" w:type="dxa"/>
        </w:tblCellMar>
      </w:tblPr>
      <w:tblGrid>
        <w:gridCol w:w="634"/>
        <w:gridCol w:w="6"/>
        <w:gridCol w:w="2820"/>
        <w:gridCol w:w="840"/>
        <w:gridCol w:w="860"/>
        <w:gridCol w:w="1943"/>
        <w:gridCol w:w="1560"/>
      </w:tblGrid>
      <w:tr>
        <w:tblPrEx>
          <w:tblCellMar>
            <w:top w:w="0" w:type="dxa"/>
            <w:left w:w="108" w:type="dxa"/>
            <w:bottom w:w="0" w:type="dxa"/>
            <w:right w:w="108" w:type="dxa"/>
          </w:tblCellMar>
        </w:tblPrEx>
        <w:trPr>
          <w:trHeight w:val="427" w:hRule="atLeast"/>
          <w:tblHeader/>
        </w:trPr>
        <w:tc>
          <w:tcPr>
            <w:tcW w:w="64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auto"/>
              <w:ind w:firstLine="0" w:firstLineChars="0"/>
              <w:jc w:val="center"/>
              <w:rPr>
                <w:b/>
                <w:bCs/>
                <w:color w:val="auto"/>
                <w:kern w:val="0"/>
                <w:sz w:val="21"/>
                <w:szCs w:val="21"/>
                <w:highlight w:val="none"/>
              </w:rPr>
            </w:pPr>
            <w:r>
              <w:rPr>
                <w:rFonts w:hint="eastAsia" w:ascii="宋体" w:hAnsi="宋体"/>
                <w:b/>
                <w:bCs/>
                <w:color w:val="auto"/>
                <w:kern w:val="0"/>
                <w:sz w:val="21"/>
                <w:szCs w:val="21"/>
                <w:highlight w:val="none"/>
              </w:rPr>
              <w:t>序号</w:t>
            </w:r>
          </w:p>
        </w:tc>
        <w:tc>
          <w:tcPr>
            <w:tcW w:w="2820" w:type="dxa"/>
            <w:tcBorders>
              <w:top w:val="single" w:color="auto" w:sz="4" w:space="0"/>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b/>
                <w:bCs/>
                <w:color w:val="auto"/>
                <w:kern w:val="0"/>
                <w:sz w:val="21"/>
                <w:szCs w:val="21"/>
                <w:highlight w:val="none"/>
              </w:rPr>
            </w:pPr>
            <w:r>
              <w:rPr>
                <w:rFonts w:hint="eastAsia" w:ascii="宋体" w:hAnsi="宋体"/>
                <w:b/>
                <w:bCs/>
                <w:color w:val="auto"/>
                <w:kern w:val="0"/>
                <w:sz w:val="21"/>
                <w:szCs w:val="21"/>
                <w:highlight w:val="none"/>
              </w:rPr>
              <w:t>工程或费用名称</w:t>
            </w:r>
          </w:p>
        </w:tc>
        <w:tc>
          <w:tcPr>
            <w:tcW w:w="840" w:type="dxa"/>
            <w:tcBorders>
              <w:top w:val="single" w:color="auto" w:sz="4" w:space="0"/>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b/>
                <w:bCs/>
                <w:color w:val="auto"/>
                <w:kern w:val="0"/>
                <w:sz w:val="21"/>
                <w:szCs w:val="21"/>
                <w:highlight w:val="none"/>
              </w:rPr>
            </w:pPr>
            <w:r>
              <w:rPr>
                <w:rFonts w:hint="eastAsia" w:ascii="宋体" w:hAnsi="宋体"/>
                <w:b/>
                <w:bCs/>
                <w:color w:val="auto"/>
                <w:kern w:val="0"/>
                <w:sz w:val="21"/>
                <w:szCs w:val="21"/>
                <w:highlight w:val="none"/>
              </w:rPr>
              <w:t>单位</w:t>
            </w:r>
          </w:p>
        </w:tc>
        <w:tc>
          <w:tcPr>
            <w:tcW w:w="860" w:type="dxa"/>
            <w:tcBorders>
              <w:top w:val="single" w:color="auto" w:sz="4" w:space="0"/>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b/>
                <w:bCs/>
                <w:color w:val="auto"/>
                <w:kern w:val="0"/>
                <w:sz w:val="21"/>
                <w:szCs w:val="21"/>
                <w:highlight w:val="none"/>
              </w:rPr>
            </w:pPr>
            <w:r>
              <w:rPr>
                <w:rFonts w:hint="eastAsia" w:ascii="宋体" w:hAnsi="宋体"/>
                <w:b/>
                <w:bCs/>
                <w:color w:val="auto"/>
                <w:kern w:val="0"/>
                <w:sz w:val="21"/>
                <w:szCs w:val="21"/>
                <w:highlight w:val="none"/>
              </w:rPr>
              <w:t>数量</w:t>
            </w:r>
          </w:p>
        </w:tc>
        <w:tc>
          <w:tcPr>
            <w:tcW w:w="1943" w:type="dxa"/>
            <w:tcBorders>
              <w:top w:val="single" w:color="auto" w:sz="4" w:space="0"/>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b/>
                <w:bCs/>
                <w:color w:val="auto"/>
                <w:kern w:val="0"/>
                <w:sz w:val="21"/>
                <w:szCs w:val="21"/>
                <w:highlight w:val="none"/>
              </w:rPr>
            </w:pPr>
            <w:r>
              <w:rPr>
                <w:rFonts w:hint="eastAsia" w:ascii="宋体" w:hAnsi="宋体"/>
                <w:b/>
                <w:bCs/>
                <w:color w:val="auto"/>
                <w:kern w:val="0"/>
                <w:sz w:val="21"/>
                <w:szCs w:val="21"/>
                <w:highlight w:val="none"/>
              </w:rPr>
              <w:t>单价（元）</w:t>
            </w:r>
          </w:p>
        </w:tc>
        <w:tc>
          <w:tcPr>
            <w:tcW w:w="1560" w:type="dxa"/>
            <w:tcBorders>
              <w:top w:val="single" w:color="auto" w:sz="4" w:space="0"/>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b/>
                <w:bCs/>
                <w:color w:val="auto"/>
                <w:kern w:val="0"/>
                <w:sz w:val="21"/>
                <w:szCs w:val="21"/>
                <w:highlight w:val="none"/>
              </w:rPr>
            </w:pPr>
            <w:r>
              <w:rPr>
                <w:rFonts w:hint="eastAsia" w:ascii="宋体" w:hAnsi="宋体"/>
                <w:b/>
                <w:bCs/>
                <w:color w:val="auto"/>
                <w:kern w:val="0"/>
                <w:sz w:val="21"/>
                <w:szCs w:val="21"/>
                <w:highlight w:val="none"/>
              </w:rPr>
              <w:t>合价（万元）</w:t>
            </w:r>
          </w:p>
        </w:tc>
      </w:tr>
      <w:tr>
        <w:tblPrEx>
          <w:tblCellMar>
            <w:top w:w="0" w:type="dxa"/>
            <w:left w:w="108" w:type="dxa"/>
            <w:bottom w:w="0" w:type="dxa"/>
            <w:right w:w="108" w:type="dxa"/>
          </w:tblCellMar>
        </w:tblPrEx>
        <w:trPr>
          <w:trHeight w:val="300" w:hRule="atLeast"/>
        </w:trPr>
        <w:tc>
          <w:tcPr>
            <w:tcW w:w="3460"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b/>
                <w:bCs/>
                <w:color w:val="auto"/>
                <w:kern w:val="0"/>
                <w:sz w:val="21"/>
                <w:szCs w:val="21"/>
                <w:highlight w:val="none"/>
              </w:rPr>
            </w:pPr>
            <w:r>
              <w:rPr>
                <w:rFonts w:hint="eastAsia" w:ascii="宋体" w:hAnsi="宋体"/>
                <w:b/>
                <w:bCs/>
                <w:color w:val="auto"/>
                <w:kern w:val="0"/>
                <w:sz w:val="21"/>
                <w:szCs w:val="21"/>
                <w:highlight w:val="none"/>
              </w:rPr>
              <w:t>第一部分：环境保护临时措施</w:t>
            </w:r>
          </w:p>
        </w:tc>
        <w:tc>
          <w:tcPr>
            <w:tcW w:w="84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b/>
                <w:bCs/>
                <w:color w:val="auto"/>
                <w:kern w:val="0"/>
                <w:sz w:val="21"/>
                <w:szCs w:val="21"/>
                <w:highlight w:val="none"/>
              </w:rPr>
            </w:pPr>
            <w:r>
              <w:rPr>
                <w:b/>
                <w:bCs/>
                <w:color w:val="auto"/>
                <w:kern w:val="0"/>
                <w:sz w:val="21"/>
                <w:szCs w:val="21"/>
                <w:highlight w:val="none"/>
              </w:rPr>
              <w:t>　</w:t>
            </w:r>
          </w:p>
        </w:tc>
        <w:tc>
          <w:tcPr>
            <w:tcW w:w="86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b/>
                <w:bCs/>
                <w:color w:val="auto"/>
                <w:kern w:val="0"/>
                <w:sz w:val="21"/>
                <w:szCs w:val="21"/>
                <w:highlight w:val="none"/>
              </w:rPr>
            </w:pPr>
            <w:r>
              <w:rPr>
                <w:b/>
                <w:bCs/>
                <w:color w:val="auto"/>
                <w:kern w:val="0"/>
                <w:sz w:val="21"/>
                <w:szCs w:val="21"/>
                <w:highlight w:val="none"/>
              </w:rPr>
              <w:t>　</w:t>
            </w:r>
          </w:p>
        </w:tc>
        <w:tc>
          <w:tcPr>
            <w:tcW w:w="1943"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b/>
                <w:bCs/>
                <w:color w:val="auto"/>
                <w:kern w:val="0"/>
                <w:sz w:val="21"/>
                <w:szCs w:val="21"/>
                <w:highlight w:val="none"/>
              </w:rPr>
            </w:pPr>
            <w:r>
              <w:rPr>
                <w:b/>
                <w:bCs/>
                <w:color w:val="auto"/>
                <w:kern w:val="0"/>
                <w:sz w:val="21"/>
                <w:szCs w:val="21"/>
                <w:highlight w:val="none"/>
              </w:rPr>
              <w:t>　</w:t>
            </w:r>
          </w:p>
        </w:tc>
        <w:tc>
          <w:tcPr>
            <w:tcW w:w="156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b/>
                <w:bCs/>
                <w:color w:val="auto"/>
                <w:kern w:val="0"/>
                <w:sz w:val="21"/>
                <w:szCs w:val="21"/>
                <w:highlight w:val="none"/>
              </w:rPr>
            </w:pPr>
            <w:r>
              <w:rPr>
                <w:rFonts w:hint="eastAsia"/>
                <w:b/>
                <w:bCs/>
                <w:color w:val="auto"/>
                <w:kern w:val="0"/>
                <w:sz w:val="21"/>
                <w:szCs w:val="21"/>
                <w:highlight w:val="none"/>
              </w:rPr>
              <w:t>9</w:t>
            </w:r>
            <w:r>
              <w:rPr>
                <w:b/>
                <w:bCs/>
                <w:color w:val="auto"/>
                <w:kern w:val="0"/>
                <w:sz w:val="21"/>
                <w:szCs w:val="21"/>
                <w:highlight w:val="none"/>
              </w:rPr>
              <w:t>.08</w:t>
            </w:r>
          </w:p>
        </w:tc>
      </w:tr>
      <w:tr>
        <w:tblPrEx>
          <w:tblCellMar>
            <w:top w:w="0" w:type="dxa"/>
            <w:left w:w="108" w:type="dxa"/>
            <w:bottom w:w="0" w:type="dxa"/>
            <w:right w:w="108" w:type="dxa"/>
          </w:tblCellMar>
        </w:tblPrEx>
        <w:trPr>
          <w:trHeight w:val="300" w:hRule="atLeast"/>
        </w:trPr>
        <w:tc>
          <w:tcPr>
            <w:tcW w:w="3460"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b/>
                <w:bCs/>
                <w:color w:val="auto"/>
                <w:kern w:val="0"/>
                <w:sz w:val="21"/>
                <w:szCs w:val="21"/>
                <w:highlight w:val="none"/>
              </w:rPr>
            </w:pPr>
            <w:r>
              <w:rPr>
                <w:rFonts w:hint="eastAsia" w:ascii="宋体" w:hAnsi="宋体"/>
                <w:b/>
                <w:bCs/>
                <w:color w:val="auto"/>
                <w:kern w:val="0"/>
                <w:sz w:val="21"/>
                <w:szCs w:val="21"/>
                <w:highlight w:val="none"/>
              </w:rPr>
              <w:t>一、生产废水处理</w:t>
            </w:r>
          </w:p>
        </w:tc>
        <w:tc>
          <w:tcPr>
            <w:tcW w:w="84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b/>
                <w:bCs/>
                <w:color w:val="auto"/>
                <w:kern w:val="0"/>
                <w:sz w:val="21"/>
                <w:szCs w:val="21"/>
                <w:highlight w:val="none"/>
              </w:rPr>
            </w:pPr>
            <w:r>
              <w:rPr>
                <w:b/>
                <w:bCs/>
                <w:color w:val="auto"/>
                <w:kern w:val="0"/>
                <w:sz w:val="21"/>
                <w:szCs w:val="21"/>
                <w:highlight w:val="none"/>
              </w:rPr>
              <w:t>　</w:t>
            </w:r>
          </w:p>
        </w:tc>
        <w:tc>
          <w:tcPr>
            <w:tcW w:w="86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b/>
                <w:bCs/>
                <w:color w:val="auto"/>
                <w:kern w:val="0"/>
                <w:sz w:val="21"/>
                <w:szCs w:val="21"/>
                <w:highlight w:val="none"/>
              </w:rPr>
            </w:pPr>
            <w:r>
              <w:rPr>
                <w:b/>
                <w:bCs/>
                <w:color w:val="auto"/>
                <w:kern w:val="0"/>
                <w:sz w:val="21"/>
                <w:szCs w:val="21"/>
                <w:highlight w:val="none"/>
              </w:rPr>
              <w:t>　</w:t>
            </w:r>
          </w:p>
        </w:tc>
        <w:tc>
          <w:tcPr>
            <w:tcW w:w="1943"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b/>
                <w:bCs/>
                <w:color w:val="auto"/>
                <w:kern w:val="0"/>
                <w:sz w:val="21"/>
                <w:szCs w:val="21"/>
                <w:highlight w:val="none"/>
              </w:rPr>
            </w:pPr>
            <w:r>
              <w:rPr>
                <w:b/>
                <w:bCs/>
                <w:color w:val="auto"/>
                <w:kern w:val="0"/>
                <w:sz w:val="21"/>
                <w:szCs w:val="21"/>
                <w:highlight w:val="none"/>
              </w:rPr>
              <w:t>　</w:t>
            </w:r>
          </w:p>
        </w:tc>
        <w:tc>
          <w:tcPr>
            <w:tcW w:w="156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b/>
                <w:bCs/>
                <w:color w:val="auto"/>
                <w:kern w:val="0"/>
                <w:sz w:val="21"/>
                <w:szCs w:val="21"/>
                <w:highlight w:val="none"/>
              </w:rPr>
            </w:pPr>
            <w:r>
              <w:rPr>
                <w:rFonts w:hint="eastAsia"/>
                <w:b/>
                <w:bCs/>
                <w:color w:val="auto"/>
                <w:kern w:val="0"/>
                <w:sz w:val="21"/>
                <w:szCs w:val="21"/>
                <w:highlight w:val="none"/>
              </w:rPr>
              <w:t>2</w:t>
            </w:r>
            <w:r>
              <w:rPr>
                <w:b/>
                <w:bCs/>
                <w:color w:val="auto"/>
                <w:kern w:val="0"/>
                <w:sz w:val="21"/>
                <w:szCs w:val="21"/>
                <w:highlight w:val="none"/>
              </w:rPr>
              <w:t>.15</w:t>
            </w:r>
          </w:p>
        </w:tc>
      </w:tr>
      <w:tr>
        <w:tblPrEx>
          <w:tblCellMar>
            <w:top w:w="0" w:type="dxa"/>
            <w:left w:w="108" w:type="dxa"/>
            <w:bottom w:w="0" w:type="dxa"/>
            <w:right w:w="108" w:type="dxa"/>
          </w:tblCellMar>
        </w:tblPrEx>
        <w:trPr>
          <w:trHeight w:val="300" w:hRule="atLeast"/>
        </w:trPr>
        <w:tc>
          <w:tcPr>
            <w:tcW w:w="640"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color w:val="auto"/>
                <w:kern w:val="0"/>
                <w:sz w:val="21"/>
                <w:szCs w:val="21"/>
                <w:highlight w:val="none"/>
              </w:rPr>
            </w:pPr>
            <w:r>
              <w:rPr>
                <w:color w:val="auto"/>
                <w:kern w:val="0"/>
                <w:sz w:val="21"/>
                <w:szCs w:val="21"/>
                <w:highlight w:val="none"/>
              </w:rPr>
              <w:t>1</w:t>
            </w:r>
          </w:p>
        </w:tc>
        <w:tc>
          <w:tcPr>
            <w:tcW w:w="282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集污水池基建费</w:t>
            </w:r>
          </w:p>
        </w:tc>
        <w:tc>
          <w:tcPr>
            <w:tcW w:w="84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个</w:t>
            </w:r>
          </w:p>
        </w:tc>
        <w:tc>
          <w:tcPr>
            <w:tcW w:w="86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color w:val="auto"/>
                <w:kern w:val="0"/>
                <w:sz w:val="21"/>
                <w:szCs w:val="21"/>
                <w:highlight w:val="none"/>
              </w:rPr>
            </w:pPr>
            <w:r>
              <w:rPr>
                <w:color w:val="auto"/>
                <w:kern w:val="0"/>
                <w:sz w:val="21"/>
                <w:szCs w:val="21"/>
                <w:highlight w:val="none"/>
              </w:rPr>
              <w:t>1</w:t>
            </w:r>
          </w:p>
        </w:tc>
        <w:tc>
          <w:tcPr>
            <w:tcW w:w="1943"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color w:val="auto"/>
                <w:kern w:val="0"/>
                <w:sz w:val="21"/>
                <w:szCs w:val="21"/>
                <w:highlight w:val="none"/>
              </w:rPr>
            </w:pPr>
            <w:r>
              <w:rPr>
                <w:color w:val="auto"/>
                <w:kern w:val="0"/>
                <w:sz w:val="21"/>
                <w:szCs w:val="21"/>
                <w:highlight w:val="none"/>
              </w:rPr>
              <w:t>4000</w:t>
            </w:r>
          </w:p>
        </w:tc>
        <w:tc>
          <w:tcPr>
            <w:tcW w:w="156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color w:val="auto"/>
                <w:kern w:val="0"/>
                <w:sz w:val="21"/>
                <w:szCs w:val="21"/>
                <w:highlight w:val="none"/>
              </w:rPr>
            </w:pPr>
            <w:r>
              <w:rPr>
                <w:rFonts w:hint="eastAsia"/>
                <w:color w:val="auto"/>
                <w:kern w:val="0"/>
                <w:sz w:val="21"/>
                <w:szCs w:val="21"/>
                <w:highlight w:val="none"/>
              </w:rPr>
              <w:t>0</w:t>
            </w:r>
            <w:r>
              <w:rPr>
                <w:color w:val="auto"/>
                <w:kern w:val="0"/>
                <w:sz w:val="21"/>
                <w:szCs w:val="21"/>
                <w:highlight w:val="none"/>
              </w:rPr>
              <w:t>.4</w:t>
            </w:r>
          </w:p>
        </w:tc>
      </w:tr>
      <w:tr>
        <w:tblPrEx>
          <w:tblCellMar>
            <w:top w:w="0" w:type="dxa"/>
            <w:left w:w="108" w:type="dxa"/>
            <w:bottom w:w="0" w:type="dxa"/>
            <w:right w:w="108" w:type="dxa"/>
          </w:tblCellMar>
        </w:tblPrEx>
        <w:trPr>
          <w:trHeight w:val="300" w:hRule="atLeast"/>
        </w:trPr>
        <w:tc>
          <w:tcPr>
            <w:tcW w:w="640"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color w:val="auto"/>
                <w:kern w:val="0"/>
                <w:sz w:val="21"/>
                <w:szCs w:val="21"/>
                <w:highlight w:val="none"/>
              </w:rPr>
            </w:pPr>
            <w:r>
              <w:rPr>
                <w:color w:val="auto"/>
                <w:kern w:val="0"/>
                <w:sz w:val="21"/>
                <w:szCs w:val="21"/>
                <w:highlight w:val="none"/>
              </w:rPr>
              <w:t>2</w:t>
            </w:r>
          </w:p>
        </w:tc>
        <w:tc>
          <w:tcPr>
            <w:tcW w:w="2820"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color w:val="auto"/>
                <w:kern w:val="0"/>
                <w:sz w:val="21"/>
                <w:szCs w:val="21"/>
                <w:highlight w:val="none"/>
              </w:rPr>
            </w:pPr>
            <w:r>
              <w:rPr>
                <w:rFonts w:hint="eastAsia" w:ascii="宋体" w:hAnsi="宋体"/>
                <w:color w:val="auto"/>
                <w:kern w:val="0"/>
                <w:sz w:val="21"/>
                <w:szCs w:val="21"/>
                <w:highlight w:val="none"/>
              </w:rPr>
              <w:t>沉砂池基建费</w:t>
            </w:r>
          </w:p>
        </w:tc>
        <w:tc>
          <w:tcPr>
            <w:tcW w:w="84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color w:val="auto"/>
                <w:kern w:val="0"/>
                <w:sz w:val="21"/>
                <w:szCs w:val="21"/>
                <w:highlight w:val="none"/>
              </w:rPr>
            </w:pPr>
            <w:r>
              <w:rPr>
                <w:rFonts w:hint="eastAsia" w:ascii="宋体" w:hAnsi="宋体"/>
                <w:color w:val="auto"/>
                <w:kern w:val="0"/>
                <w:sz w:val="21"/>
                <w:szCs w:val="21"/>
                <w:highlight w:val="none"/>
              </w:rPr>
              <w:t>个</w:t>
            </w:r>
          </w:p>
        </w:tc>
        <w:tc>
          <w:tcPr>
            <w:tcW w:w="860"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color w:val="auto"/>
                <w:kern w:val="0"/>
                <w:sz w:val="21"/>
                <w:szCs w:val="21"/>
                <w:highlight w:val="none"/>
              </w:rPr>
            </w:pPr>
            <w:r>
              <w:rPr>
                <w:color w:val="auto"/>
                <w:kern w:val="0"/>
                <w:sz w:val="21"/>
                <w:szCs w:val="21"/>
                <w:highlight w:val="none"/>
              </w:rPr>
              <w:t>1</w:t>
            </w:r>
          </w:p>
        </w:tc>
        <w:tc>
          <w:tcPr>
            <w:tcW w:w="1943"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color w:val="auto"/>
                <w:kern w:val="0"/>
                <w:sz w:val="21"/>
                <w:szCs w:val="21"/>
                <w:highlight w:val="none"/>
              </w:rPr>
            </w:pPr>
            <w:r>
              <w:rPr>
                <w:color w:val="auto"/>
                <w:kern w:val="0"/>
                <w:sz w:val="21"/>
                <w:szCs w:val="21"/>
                <w:highlight w:val="none"/>
              </w:rPr>
              <w:t>4000</w:t>
            </w:r>
          </w:p>
        </w:tc>
        <w:tc>
          <w:tcPr>
            <w:tcW w:w="156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color w:val="auto"/>
                <w:kern w:val="0"/>
                <w:sz w:val="21"/>
                <w:szCs w:val="21"/>
                <w:highlight w:val="none"/>
              </w:rPr>
            </w:pPr>
            <w:r>
              <w:rPr>
                <w:rFonts w:hint="eastAsia"/>
                <w:color w:val="auto"/>
                <w:kern w:val="0"/>
                <w:sz w:val="21"/>
                <w:szCs w:val="21"/>
                <w:highlight w:val="none"/>
              </w:rPr>
              <w:t>0</w:t>
            </w:r>
            <w:r>
              <w:rPr>
                <w:color w:val="auto"/>
                <w:kern w:val="0"/>
                <w:sz w:val="21"/>
                <w:szCs w:val="21"/>
                <w:highlight w:val="none"/>
              </w:rPr>
              <w:t>.4</w:t>
            </w:r>
          </w:p>
        </w:tc>
      </w:tr>
      <w:tr>
        <w:tblPrEx>
          <w:tblCellMar>
            <w:top w:w="0" w:type="dxa"/>
            <w:left w:w="108" w:type="dxa"/>
            <w:bottom w:w="0" w:type="dxa"/>
            <w:right w:w="108" w:type="dxa"/>
          </w:tblCellMar>
        </w:tblPrEx>
        <w:trPr>
          <w:trHeight w:val="300" w:hRule="atLeast"/>
        </w:trPr>
        <w:tc>
          <w:tcPr>
            <w:tcW w:w="640"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color w:val="auto"/>
                <w:kern w:val="0"/>
                <w:sz w:val="21"/>
                <w:szCs w:val="21"/>
                <w:highlight w:val="none"/>
              </w:rPr>
            </w:pPr>
            <w:r>
              <w:rPr>
                <w:color w:val="auto"/>
                <w:kern w:val="0"/>
                <w:sz w:val="21"/>
                <w:szCs w:val="21"/>
                <w:highlight w:val="none"/>
              </w:rPr>
              <w:t>3</w:t>
            </w:r>
          </w:p>
        </w:tc>
        <w:tc>
          <w:tcPr>
            <w:tcW w:w="2820"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color w:val="auto"/>
                <w:kern w:val="0"/>
                <w:sz w:val="21"/>
                <w:szCs w:val="21"/>
                <w:highlight w:val="none"/>
              </w:rPr>
            </w:pPr>
            <w:r>
              <w:rPr>
                <w:rFonts w:hint="eastAsia" w:ascii="宋体" w:hAnsi="宋体"/>
                <w:color w:val="auto"/>
                <w:kern w:val="0"/>
                <w:sz w:val="21"/>
                <w:szCs w:val="21"/>
                <w:highlight w:val="none"/>
              </w:rPr>
              <w:t>隔油池基建费</w:t>
            </w:r>
          </w:p>
        </w:tc>
        <w:tc>
          <w:tcPr>
            <w:tcW w:w="84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color w:val="auto"/>
                <w:kern w:val="0"/>
                <w:sz w:val="21"/>
                <w:szCs w:val="21"/>
                <w:highlight w:val="none"/>
              </w:rPr>
            </w:pPr>
            <w:r>
              <w:rPr>
                <w:rFonts w:hint="eastAsia" w:ascii="宋体" w:hAnsi="宋体"/>
                <w:color w:val="auto"/>
                <w:kern w:val="0"/>
                <w:sz w:val="21"/>
                <w:szCs w:val="21"/>
                <w:highlight w:val="none"/>
              </w:rPr>
              <w:t>个</w:t>
            </w:r>
          </w:p>
        </w:tc>
        <w:tc>
          <w:tcPr>
            <w:tcW w:w="86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color w:val="auto"/>
                <w:kern w:val="0"/>
                <w:sz w:val="21"/>
                <w:szCs w:val="21"/>
                <w:highlight w:val="none"/>
              </w:rPr>
            </w:pPr>
            <w:r>
              <w:rPr>
                <w:color w:val="auto"/>
                <w:kern w:val="0"/>
                <w:sz w:val="21"/>
                <w:szCs w:val="21"/>
                <w:highlight w:val="none"/>
              </w:rPr>
              <w:t>1</w:t>
            </w:r>
          </w:p>
        </w:tc>
        <w:tc>
          <w:tcPr>
            <w:tcW w:w="1943"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color w:val="auto"/>
                <w:kern w:val="0"/>
                <w:sz w:val="21"/>
                <w:szCs w:val="21"/>
                <w:highlight w:val="none"/>
              </w:rPr>
            </w:pPr>
            <w:r>
              <w:rPr>
                <w:color w:val="auto"/>
                <w:kern w:val="0"/>
                <w:sz w:val="21"/>
                <w:szCs w:val="21"/>
                <w:highlight w:val="none"/>
              </w:rPr>
              <w:t>3000</w:t>
            </w:r>
          </w:p>
        </w:tc>
        <w:tc>
          <w:tcPr>
            <w:tcW w:w="156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color w:val="auto"/>
                <w:kern w:val="0"/>
                <w:sz w:val="21"/>
                <w:szCs w:val="21"/>
                <w:highlight w:val="none"/>
              </w:rPr>
            </w:pPr>
            <w:r>
              <w:rPr>
                <w:rFonts w:hint="eastAsia"/>
                <w:color w:val="auto"/>
                <w:kern w:val="0"/>
                <w:sz w:val="21"/>
                <w:szCs w:val="21"/>
                <w:highlight w:val="none"/>
              </w:rPr>
              <w:t>0</w:t>
            </w:r>
            <w:r>
              <w:rPr>
                <w:color w:val="auto"/>
                <w:kern w:val="0"/>
                <w:sz w:val="21"/>
                <w:szCs w:val="21"/>
                <w:highlight w:val="none"/>
              </w:rPr>
              <w:t>.3</w:t>
            </w:r>
          </w:p>
        </w:tc>
      </w:tr>
      <w:tr>
        <w:tblPrEx>
          <w:tblCellMar>
            <w:top w:w="0" w:type="dxa"/>
            <w:left w:w="108" w:type="dxa"/>
            <w:bottom w:w="0" w:type="dxa"/>
            <w:right w:w="108" w:type="dxa"/>
          </w:tblCellMar>
        </w:tblPrEx>
        <w:trPr>
          <w:trHeight w:val="300" w:hRule="atLeast"/>
        </w:trPr>
        <w:tc>
          <w:tcPr>
            <w:tcW w:w="640"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color w:val="auto"/>
                <w:kern w:val="0"/>
                <w:sz w:val="21"/>
                <w:szCs w:val="21"/>
                <w:highlight w:val="none"/>
              </w:rPr>
            </w:pPr>
            <w:r>
              <w:rPr>
                <w:color w:val="auto"/>
                <w:kern w:val="0"/>
                <w:sz w:val="21"/>
                <w:szCs w:val="21"/>
                <w:highlight w:val="none"/>
              </w:rPr>
              <w:t>4</w:t>
            </w:r>
          </w:p>
        </w:tc>
        <w:tc>
          <w:tcPr>
            <w:tcW w:w="282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color w:val="auto"/>
                <w:kern w:val="0"/>
                <w:sz w:val="21"/>
                <w:szCs w:val="21"/>
                <w:highlight w:val="none"/>
              </w:rPr>
            </w:pPr>
            <w:r>
              <w:rPr>
                <w:rFonts w:hint="eastAsia" w:ascii="宋体" w:hAnsi="宋体" w:cs="宋体"/>
                <w:color w:val="auto"/>
                <w:kern w:val="0"/>
                <w:sz w:val="21"/>
                <w:szCs w:val="21"/>
                <w:highlight w:val="none"/>
              </w:rPr>
              <w:t>蓄水池基建费</w:t>
            </w:r>
          </w:p>
        </w:tc>
        <w:tc>
          <w:tcPr>
            <w:tcW w:w="84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color w:val="auto"/>
                <w:kern w:val="0"/>
                <w:sz w:val="21"/>
                <w:szCs w:val="21"/>
                <w:highlight w:val="none"/>
              </w:rPr>
            </w:pPr>
            <w:r>
              <w:rPr>
                <w:rFonts w:hint="eastAsia" w:ascii="宋体" w:hAnsi="宋体"/>
                <w:color w:val="auto"/>
                <w:kern w:val="0"/>
                <w:sz w:val="21"/>
                <w:szCs w:val="21"/>
                <w:highlight w:val="none"/>
              </w:rPr>
              <w:t>个</w:t>
            </w:r>
          </w:p>
        </w:tc>
        <w:tc>
          <w:tcPr>
            <w:tcW w:w="860"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color w:val="auto"/>
                <w:kern w:val="0"/>
                <w:sz w:val="21"/>
                <w:szCs w:val="21"/>
                <w:highlight w:val="none"/>
              </w:rPr>
            </w:pPr>
            <w:r>
              <w:rPr>
                <w:color w:val="auto"/>
                <w:kern w:val="0"/>
                <w:sz w:val="21"/>
                <w:szCs w:val="21"/>
                <w:highlight w:val="none"/>
              </w:rPr>
              <w:t>1</w:t>
            </w:r>
          </w:p>
        </w:tc>
        <w:tc>
          <w:tcPr>
            <w:tcW w:w="1943"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color w:val="auto"/>
                <w:kern w:val="0"/>
                <w:sz w:val="21"/>
                <w:szCs w:val="21"/>
                <w:highlight w:val="none"/>
              </w:rPr>
            </w:pPr>
            <w:r>
              <w:rPr>
                <w:color w:val="auto"/>
                <w:kern w:val="0"/>
                <w:sz w:val="21"/>
                <w:szCs w:val="21"/>
                <w:highlight w:val="none"/>
              </w:rPr>
              <w:t>4000</w:t>
            </w:r>
          </w:p>
        </w:tc>
        <w:tc>
          <w:tcPr>
            <w:tcW w:w="156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color w:val="auto"/>
                <w:kern w:val="0"/>
                <w:sz w:val="21"/>
                <w:szCs w:val="21"/>
                <w:highlight w:val="none"/>
              </w:rPr>
            </w:pPr>
            <w:r>
              <w:rPr>
                <w:rFonts w:hint="eastAsia"/>
                <w:color w:val="auto"/>
                <w:kern w:val="0"/>
                <w:sz w:val="21"/>
                <w:szCs w:val="21"/>
                <w:highlight w:val="none"/>
              </w:rPr>
              <w:t>0</w:t>
            </w:r>
            <w:r>
              <w:rPr>
                <w:color w:val="auto"/>
                <w:kern w:val="0"/>
                <w:sz w:val="21"/>
                <w:szCs w:val="21"/>
                <w:highlight w:val="none"/>
              </w:rPr>
              <w:t>.4</w:t>
            </w:r>
          </w:p>
        </w:tc>
      </w:tr>
      <w:tr>
        <w:tblPrEx>
          <w:tblCellMar>
            <w:top w:w="0" w:type="dxa"/>
            <w:left w:w="108" w:type="dxa"/>
            <w:bottom w:w="0" w:type="dxa"/>
            <w:right w:w="108" w:type="dxa"/>
          </w:tblCellMar>
        </w:tblPrEx>
        <w:trPr>
          <w:trHeight w:val="300" w:hRule="atLeast"/>
        </w:trPr>
        <w:tc>
          <w:tcPr>
            <w:tcW w:w="640"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color w:val="auto"/>
                <w:kern w:val="0"/>
                <w:sz w:val="21"/>
                <w:szCs w:val="21"/>
                <w:highlight w:val="none"/>
              </w:rPr>
            </w:pPr>
            <w:r>
              <w:rPr>
                <w:color w:val="auto"/>
                <w:kern w:val="0"/>
                <w:sz w:val="21"/>
                <w:szCs w:val="21"/>
                <w:highlight w:val="none"/>
              </w:rPr>
              <w:t>5</w:t>
            </w:r>
          </w:p>
        </w:tc>
        <w:tc>
          <w:tcPr>
            <w:tcW w:w="282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管网铺设</w:t>
            </w:r>
          </w:p>
        </w:tc>
        <w:tc>
          <w:tcPr>
            <w:tcW w:w="84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m</w:t>
            </w:r>
          </w:p>
        </w:tc>
        <w:tc>
          <w:tcPr>
            <w:tcW w:w="860"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color w:val="auto"/>
                <w:kern w:val="0"/>
                <w:sz w:val="21"/>
                <w:szCs w:val="21"/>
                <w:highlight w:val="none"/>
              </w:rPr>
            </w:pPr>
            <w:r>
              <w:rPr>
                <w:color w:val="auto"/>
                <w:kern w:val="0"/>
                <w:sz w:val="21"/>
                <w:szCs w:val="21"/>
                <w:highlight w:val="none"/>
              </w:rPr>
              <w:t>100</w:t>
            </w:r>
          </w:p>
        </w:tc>
        <w:tc>
          <w:tcPr>
            <w:tcW w:w="1943"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color w:val="auto"/>
                <w:kern w:val="0"/>
                <w:sz w:val="21"/>
                <w:szCs w:val="21"/>
                <w:highlight w:val="none"/>
              </w:rPr>
            </w:pPr>
            <w:r>
              <w:rPr>
                <w:color w:val="auto"/>
                <w:kern w:val="0"/>
                <w:sz w:val="21"/>
                <w:szCs w:val="21"/>
                <w:highlight w:val="none"/>
              </w:rPr>
              <w:t>5</w:t>
            </w:r>
          </w:p>
        </w:tc>
        <w:tc>
          <w:tcPr>
            <w:tcW w:w="156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color w:val="auto"/>
                <w:kern w:val="0"/>
                <w:sz w:val="21"/>
                <w:szCs w:val="21"/>
                <w:highlight w:val="none"/>
              </w:rPr>
            </w:pPr>
            <w:r>
              <w:rPr>
                <w:rFonts w:hint="eastAsia"/>
                <w:color w:val="auto"/>
                <w:kern w:val="0"/>
                <w:sz w:val="21"/>
                <w:szCs w:val="21"/>
                <w:highlight w:val="none"/>
              </w:rPr>
              <w:t>0</w:t>
            </w:r>
            <w:r>
              <w:rPr>
                <w:color w:val="auto"/>
                <w:kern w:val="0"/>
                <w:sz w:val="21"/>
                <w:szCs w:val="21"/>
                <w:highlight w:val="none"/>
              </w:rPr>
              <w:t>.05</w:t>
            </w:r>
          </w:p>
        </w:tc>
      </w:tr>
      <w:tr>
        <w:tblPrEx>
          <w:tblCellMar>
            <w:top w:w="0" w:type="dxa"/>
            <w:left w:w="108" w:type="dxa"/>
            <w:bottom w:w="0" w:type="dxa"/>
            <w:right w:w="108" w:type="dxa"/>
          </w:tblCellMar>
        </w:tblPrEx>
        <w:trPr>
          <w:trHeight w:val="300" w:hRule="atLeast"/>
        </w:trPr>
        <w:tc>
          <w:tcPr>
            <w:tcW w:w="640"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color w:val="auto"/>
                <w:kern w:val="0"/>
                <w:sz w:val="21"/>
                <w:szCs w:val="21"/>
                <w:highlight w:val="none"/>
              </w:rPr>
            </w:pPr>
            <w:r>
              <w:rPr>
                <w:color w:val="auto"/>
                <w:kern w:val="0"/>
                <w:sz w:val="21"/>
                <w:szCs w:val="21"/>
                <w:highlight w:val="none"/>
              </w:rPr>
              <w:t>6</w:t>
            </w:r>
          </w:p>
        </w:tc>
        <w:tc>
          <w:tcPr>
            <w:tcW w:w="282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color w:val="auto"/>
                <w:kern w:val="0"/>
                <w:sz w:val="21"/>
                <w:szCs w:val="21"/>
                <w:highlight w:val="none"/>
              </w:rPr>
            </w:pPr>
            <w:r>
              <w:rPr>
                <w:rFonts w:hint="eastAsia" w:ascii="宋体" w:hAnsi="宋体"/>
                <w:color w:val="auto"/>
                <w:kern w:val="0"/>
                <w:sz w:val="21"/>
                <w:szCs w:val="21"/>
                <w:highlight w:val="none"/>
              </w:rPr>
              <w:t>运行费</w:t>
            </w:r>
          </w:p>
        </w:tc>
        <w:tc>
          <w:tcPr>
            <w:tcW w:w="84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color w:val="auto"/>
                <w:kern w:val="0"/>
                <w:sz w:val="21"/>
                <w:szCs w:val="21"/>
                <w:highlight w:val="none"/>
              </w:rPr>
            </w:pPr>
            <w:r>
              <w:rPr>
                <w:rFonts w:hint="eastAsia" w:ascii="宋体" w:hAnsi="宋体"/>
                <w:color w:val="auto"/>
                <w:kern w:val="0"/>
                <w:sz w:val="21"/>
                <w:szCs w:val="21"/>
                <w:highlight w:val="none"/>
              </w:rPr>
              <w:t>月</w:t>
            </w:r>
          </w:p>
        </w:tc>
        <w:tc>
          <w:tcPr>
            <w:tcW w:w="860"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color w:val="auto"/>
                <w:kern w:val="0"/>
                <w:sz w:val="21"/>
                <w:szCs w:val="21"/>
                <w:highlight w:val="none"/>
              </w:rPr>
            </w:pPr>
            <w:r>
              <w:rPr>
                <w:color w:val="auto"/>
                <w:kern w:val="0"/>
                <w:sz w:val="21"/>
                <w:szCs w:val="21"/>
                <w:highlight w:val="none"/>
              </w:rPr>
              <w:t>6</w:t>
            </w:r>
          </w:p>
        </w:tc>
        <w:tc>
          <w:tcPr>
            <w:tcW w:w="1943"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color w:val="auto"/>
                <w:kern w:val="0"/>
                <w:sz w:val="21"/>
                <w:szCs w:val="21"/>
                <w:highlight w:val="none"/>
              </w:rPr>
            </w:pPr>
            <w:r>
              <w:rPr>
                <w:color w:val="auto"/>
                <w:kern w:val="0"/>
                <w:sz w:val="21"/>
                <w:szCs w:val="21"/>
                <w:highlight w:val="none"/>
              </w:rPr>
              <w:t>1000</w:t>
            </w:r>
          </w:p>
        </w:tc>
        <w:tc>
          <w:tcPr>
            <w:tcW w:w="156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color w:val="auto"/>
                <w:kern w:val="0"/>
                <w:sz w:val="21"/>
                <w:szCs w:val="21"/>
                <w:highlight w:val="none"/>
              </w:rPr>
            </w:pPr>
            <w:r>
              <w:rPr>
                <w:rFonts w:hint="eastAsia"/>
                <w:color w:val="auto"/>
                <w:kern w:val="0"/>
                <w:sz w:val="21"/>
                <w:szCs w:val="21"/>
                <w:highlight w:val="none"/>
              </w:rPr>
              <w:t>0</w:t>
            </w:r>
            <w:r>
              <w:rPr>
                <w:color w:val="auto"/>
                <w:kern w:val="0"/>
                <w:sz w:val="21"/>
                <w:szCs w:val="21"/>
                <w:highlight w:val="none"/>
              </w:rPr>
              <w:t>.6</w:t>
            </w:r>
          </w:p>
        </w:tc>
      </w:tr>
      <w:tr>
        <w:tblPrEx>
          <w:tblCellMar>
            <w:top w:w="0" w:type="dxa"/>
            <w:left w:w="108" w:type="dxa"/>
            <w:bottom w:w="0" w:type="dxa"/>
            <w:right w:w="108" w:type="dxa"/>
          </w:tblCellMar>
        </w:tblPrEx>
        <w:trPr>
          <w:trHeight w:val="300" w:hRule="atLeast"/>
        </w:trPr>
        <w:tc>
          <w:tcPr>
            <w:tcW w:w="3460"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b/>
                <w:bCs/>
                <w:color w:val="auto"/>
                <w:kern w:val="0"/>
                <w:sz w:val="21"/>
                <w:szCs w:val="21"/>
                <w:highlight w:val="none"/>
              </w:rPr>
            </w:pPr>
            <w:r>
              <w:rPr>
                <w:rFonts w:hint="eastAsia" w:ascii="宋体" w:hAnsi="宋体"/>
                <w:b/>
                <w:bCs/>
                <w:color w:val="auto"/>
                <w:kern w:val="0"/>
                <w:sz w:val="21"/>
                <w:szCs w:val="21"/>
                <w:highlight w:val="none"/>
              </w:rPr>
              <w:t>二、生活污水处理</w:t>
            </w:r>
          </w:p>
        </w:tc>
        <w:tc>
          <w:tcPr>
            <w:tcW w:w="84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b/>
                <w:bCs/>
                <w:color w:val="auto"/>
                <w:kern w:val="0"/>
                <w:sz w:val="21"/>
                <w:szCs w:val="21"/>
                <w:highlight w:val="none"/>
              </w:rPr>
            </w:pPr>
            <w:r>
              <w:rPr>
                <w:b/>
                <w:bCs/>
                <w:color w:val="auto"/>
                <w:kern w:val="0"/>
                <w:sz w:val="21"/>
                <w:szCs w:val="21"/>
                <w:highlight w:val="none"/>
              </w:rPr>
              <w:t>　</w:t>
            </w:r>
          </w:p>
        </w:tc>
        <w:tc>
          <w:tcPr>
            <w:tcW w:w="860"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b/>
                <w:bCs/>
                <w:color w:val="auto"/>
                <w:kern w:val="0"/>
                <w:sz w:val="21"/>
                <w:szCs w:val="21"/>
                <w:highlight w:val="none"/>
              </w:rPr>
            </w:pPr>
            <w:r>
              <w:rPr>
                <w:b/>
                <w:bCs/>
                <w:color w:val="auto"/>
                <w:kern w:val="0"/>
                <w:sz w:val="21"/>
                <w:szCs w:val="21"/>
                <w:highlight w:val="none"/>
              </w:rPr>
              <w:t>　</w:t>
            </w:r>
          </w:p>
        </w:tc>
        <w:tc>
          <w:tcPr>
            <w:tcW w:w="1943"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b/>
                <w:bCs/>
                <w:color w:val="auto"/>
                <w:kern w:val="0"/>
                <w:sz w:val="21"/>
                <w:szCs w:val="21"/>
                <w:highlight w:val="none"/>
              </w:rPr>
            </w:pPr>
            <w:r>
              <w:rPr>
                <w:b/>
                <w:bCs/>
                <w:color w:val="auto"/>
                <w:kern w:val="0"/>
                <w:sz w:val="21"/>
                <w:szCs w:val="21"/>
                <w:highlight w:val="none"/>
              </w:rPr>
              <w:t>　</w:t>
            </w:r>
          </w:p>
        </w:tc>
        <w:tc>
          <w:tcPr>
            <w:tcW w:w="156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b/>
                <w:bCs/>
                <w:color w:val="auto"/>
                <w:kern w:val="0"/>
                <w:sz w:val="21"/>
                <w:szCs w:val="21"/>
                <w:highlight w:val="none"/>
              </w:rPr>
            </w:pPr>
            <w:r>
              <w:rPr>
                <w:rFonts w:hint="eastAsia"/>
                <w:b/>
                <w:bCs/>
                <w:color w:val="auto"/>
                <w:kern w:val="0"/>
                <w:sz w:val="21"/>
                <w:szCs w:val="21"/>
                <w:highlight w:val="none"/>
              </w:rPr>
              <w:t>1</w:t>
            </w:r>
            <w:r>
              <w:rPr>
                <w:b/>
                <w:bCs/>
                <w:color w:val="auto"/>
                <w:kern w:val="0"/>
                <w:sz w:val="21"/>
                <w:szCs w:val="21"/>
                <w:highlight w:val="none"/>
              </w:rPr>
              <w:t>.21</w:t>
            </w:r>
          </w:p>
        </w:tc>
      </w:tr>
      <w:tr>
        <w:tblPrEx>
          <w:tblCellMar>
            <w:top w:w="0" w:type="dxa"/>
            <w:left w:w="108" w:type="dxa"/>
            <w:bottom w:w="0" w:type="dxa"/>
            <w:right w:w="108" w:type="dxa"/>
          </w:tblCellMar>
        </w:tblPrEx>
        <w:trPr>
          <w:trHeight w:val="300" w:hRule="atLeast"/>
        </w:trPr>
        <w:tc>
          <w:tcPr>
            <w:tcW w:w="640"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color w:val="auto"/>
                <w:kern w:val="0"/>
                <w:sz w:val="21"/>
                <w:szCs w:val="21"/>
                <w:highlight w:val="none"/>
              </w:rPr>
            </w:pPr>
            <w:r>
              <w:rPr>
                <w:color w:val="auto"/>
                <w:kern w:val="0"/>
                <w:sz w:val="21"/>
                <w:szCs w:val="21"/>
                <w:highlight w:val="none"/>
              </w:rPr>
              <w:t>1</w:t>
            </w:r>
          </w:p>
        </w:tc>
        <w:tc>
          <w:tcPr>
            <w:tcW w:w="282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移动环保厕所</w:t>
            </w:r>
          </w:p>
        </w:tc>
        <w:tc>
          <w:tcPr>
            <w:tcW w:w="84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个</w:t>
            </w:r>
          </w:p>
        </w:tc>
        <w:tc>
          <w:tcPr>
            <w:tcW w:w="860"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color w:val="auto"/>
                <w:kern w:val="0"/>
                <w:sz w:val="21"/>
                <w:szCs w:val="21"/>
                <w:highlight w:val="none"/>
              </w:rPr>
            </w:pPr>
            <w:r>
              <w:rPr>
                <w:color w:val="auto"/>
                <w:kern w:val="0"/>
                <w:sz w:val="21"/>
                <w:szCs w:val="21"/>
                <w:highlight w:val="none"/>
              </w:rPr>
              <w:t>1</w:t>
            </w:r>
          </w:p>
        </w:tc>
        <w:tc>
          <w:tcPr>
            <w:tcW w:w="1943"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color w:val="auto"/>
                <w:kern w:val="0"/>
                <w:sz w:val="21"/>
                <w:szCs w:val="21"/>
                <w:highlight w:val="none"/>
              </w:rPr>
            </w:pPr>
            <w:r>
              <w:rPr>
                <w:color w:val="auto"/>
                <w:kern w:val="0"/>
                <w:sz w:val="21"/>
                <w:szCs w:val="21"/>
                <w:highlight w:val="none"/>
              </w:rPr>
              <w:t>3000</w:t>
            </w:r>
          </w:p>
        </w:tc>
        <w:tc>
          <w:tcPr>
            <w:tcW w:w="156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color w:val="auto"/>
                <w:kern w:val="0"/>
                <w:sz w:val="21"/>
                <w:szCs w:val="21"/>
                <w:highlight w:val="none"/>
              </w:rPr>
            </w:pPr>
            <w:r>
              <w:rPr>
                <w:rFonts w:hint="eastAsia"/>
                <w:color w:val="auto"/>
                <w:kern w:val="0"/>
                <w:sz w:val="21"/>
                <w:szCs w:val="21"/>
                <w:highlight w:val="none"/>
              </w:rPr>
              <w:t>0</w:t>
            </w:r>
            <w:r>
              <w:rPr>
                <w:color w:val="auto"/>
                <w:kern w:val="0"/>
                <w:sz w:val="21"/>
                <w:szCs w:val="21"/>
                <w:highlight w:val="none"/>
              </w:rPr>
              <w:t>.3</w:t>
            </w:r>
          </w:p>
        </w:tc>
      </w:tr>
      <w:tr>
        <w:tblPrEx>
          <w:tblCellMar>
            <w:top w:w="0" w:type="dxa"/>
            <w:left w:w="108" w:type="dxa"/>
            <w:bottom w:w="0" w:type="dxa"/>
            <w:right w:w="108" w:type="dxa"/>
          </w:tblCellMar>
        </w:tblPrEx>
        <w:trPr>
          <w:trHeight w:val="300" w:hRule="atLeast"/>
        </w:trPr>
        <w:tc>
          <w:tcPr>
            <w:tcW w:w="640"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color w:val="auto"/>
                <w:kern w:val="0"/>
                <w:sz w:val="21"/>
                <w:szCs w:val="21"/>
                <w:highlight w:val="none"/>
              </w:rPr>
            </w:pPr>
            <w:r>
              <w:rPr>
                <w:color w:val="auto"/>
                <w:kern w:val="0"/>
                <w:sz w:val="21"/>
                <w:szCs w:val="21"/>
                <w:highlight w:val="none"/>
              </w:rPr>
              <w:t>3</w:t>
            </w:r>
          </w:p>
        </w:tc>
        <w:tc>
          <w:tcPr>
            <w:tcW w:w="282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清运费</w:t>
            </w:r>
          </w:p>
        </w:tc>
        <w:tc>
          <w:tcPr>
            <w:tcW w:w="84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月</w:t>
            </w:r>
          </w:p>
        </w:tc>
        <w:tc>
          <w:tcPr>
            <w:tcW w:w="860"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color w:val="auto"/>
                <w:kern w:val="0"/>
                <w:sz w:val="21"/>
                <w:szCs w:val="21"/>
                <w:highlight w:val="none"/>
              </w:rPr>
            </w:pPr>
            <w:r>
              <w:rPr>
                <w:color w:val="auto"/>
                <w:kern w:val="0"/>
                <w:sz w:val="21"/>
                <w:szCs w:val="21"/>
                <w:highlight w:val="none"/>
              </w:rPr>
              <w:t>6</w:t>
            </w:r>
          </w:p>
        </w:tc>
        <w:tc>
          <w:tcPr>
            <w:tcW w:w="1943"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color w:val="auto"/>
                <w:kern w:val="0"/>
                <w:sz w:val="21"/>
                <w:szCs w:val="21"/>
                <w:highlight w:val="none"/>
              </w:rPr>
            </w:pPr>
            <w:r>
              <w:rPr>
                <w:color w:val="auto"/>
                <w:kern w:val="0"/>
                <w:sz w:val="21"/>
                <w:szCs w:val="21"/>
                <w:highlight w:val="none"/>
              </w:rPr>
              <w:t>600</w:t>
            </w:r>
          </w:p>
        </w:tc>
        <w:tc>
          <w:tcPr>
            <w:tcW w:w="156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color w:val="auto"/>
                <w:kern w:val="0"/>
                <w:sz w:val="21"/>
                <w:szCs w:val="21"/>
                <w:highlight w:val="none"/>
              </w:rPr>
            </w:pPr>
            <w:r>
              <w:rPr>
                <w:rFonts w:hint="eastAsia"/>
                <w:color w:val="auto"/>
                <w:kern w:val="0"/>
                <w:sz w:val="21"/>
                <w:szCs w:val="21"/>
                <w:highlight w:val="none"/>
              </w:rPr>
              <w:t>0</w:t>
            </w:r>
            <w:r>
              <w:rPr>
                <w:color w:val="auto"/>
                <w:kern w:val="0"/>
                <w:sz w:val="21"/>
                <w:szCs w:val="21"/>
                <w:highlight w:val="none"/>
              </w:rPr>
              <w:t>.36</w:t>
            </w:r>
          </w:p>
        </w:tc>
      </w:tr>
      <w:tr>
        <w:tblPrEx>
          <w:tblCellMar>
            <w:top w:w="0" w:type="dxa"/>
            <w:left w:w="108" w:type="dxa"/>
            <w:bottom w:w="0" w:type="dxa"/>
            <w:right w:w="108" w:type="dxa"/>
          </w:tblCellMar>
        </w:tblPrEx>
        <w:trPr>
          <w:trHeight w:val="300" w:hRule="atLeast"/>
        </w:trPr>
        <w:tc>
          <w:tcPr>
            <w:tcW w:w="640"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color w:val="auto"/>
                <w:kern w:val="0"/>
                <w:sz w:val="21"/>
                <w:szCs w:val="21"/>
                <w:highlight w:val="none"/>
              </w:rPr>
            </w:pPr>
            <w:r>
              <w:rPr>
                <w:color w:val="auto"/>
                <w:kern w:val="0"/>
                <w:sz w:val="21"/>
                <w:szCs w:val="21"/>
                <w:highlight w:val="none"/>
              </w:rPr>
              <w:t>4</w:t>
            </w:r>
          </w:p>
        </w:tc>
        <w:tc>
          <w:tcPr>
            <w:tcW w:w="282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沉淀池</w:t>
            </w:r>
          </w:p>
        </w:tc>
        <w:tc>
          <w:tcPr>
            <w:tcW w:w="84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个</w:t>
            </w:r>
          </w:p>
        </w:tc>
        <w:tc>
          <w:tcPr>
            <w:tcW w:w="860"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color w:val="auto"/>
                <w:kern w:val="0"/>
                <w:sz w:val="21"/>
                <w:szCs w:val="21"/>
                <w:highlight w:val="none"/>
              </w:rPr>
            </w:pPr>
            <w:r>
              <w:rPr>
                <w:color w:val="auto"/>
                <w:kern w:val="0"/>
                <w:sz w:val="21"/>
                <w:szCs w:val="21"/>
                <w:highlight w:val="none"/>
              </w:rPr>
              <w:t>1</w:t>
            </w:r>
          </w:p>
        </w:tc>
        <w:tc>
          <w:tcPr>
            <w:tcW w:w="1943"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color w:val="auto"/>
                <w:kern w:val="0"/>
                <w:sz w:val="21"/>
                <w:szCs w:val="21"/>
                <w:highlight w:val="none"/>
              </w:rPr>
            </w:pPr>
            <w:r>
              <w:rPr>
                <w:color w:val="auto"/>
                <w:kern w:val="0"/>
                <w:sz w:val="21"/>
                <w:szCs w:val="21"/>
                <w:highlight w:val="none"/>
              </w:rPr>
              <w:t>2000</w:t>
            </w:r>
          </w:p>
        </w:tc>
        <w:tc>
          <w:tcPr>
            <w:tcW w:w="156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color w:val="auto"/>
                <w:kern w:val="0"/>
                <w:sz w:val="21"/>
                <w:szCs w:val="21"/>
                <w:highlight w:val="none"/>
              </w:rPr>
            </w:pPr>
            <w:r>
              <w:rPr>
                <w:rFonts w:hint="eastAsia"/>
                <w:color w:val="auto"/>
                <w:kern w:val="0"/>
                <w:sz w:val="21"/>
                <w:szCs w:val="21"/>
                <w:highlight w:val="none"/>
              </w:rPr>
              <w:t>0</w:t>
            </w:r>
            <w:r>
              <w:rPr>
                <w:color w:val="auto"/>
                <w:kern w:val="0"/>
                <w:sz w:val="21"/>
                <w:szCs w:val="21"/>
                <w:highlight w:val="none"/>
              </w:rPr>
              <w:t>.2</w:t>
            </w:r>
          </w:p>
        </w:tc>
      </w:tr>
      <w:tr>
        <w:tblPrEx>
          <w:tblCellMar>
            <w:top w:w="0" w:type="dxa"/>
            <w:left w:w="108" w:type="dxa"/>
            <w:bottom w:w="0" w:type="dxa"/>
            <w:right w:w="108" w:type="dxa"/>
          </w:tblCellMar>
        </w:tblPrEx>
        <w:trPr>
          <w:trHeight w:val="300" w:hRule="atLeast"/>
        </w:trPr>
        <w:tc>
          <w:tcPr>
            <w:tcW w:w="640"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color w:val="auto"/>
                <w:kern w:val="0"/>
                <w:sz w:val="21"/>
                <w:szCs w:val="21"/>
                <w:highlight w:val="none"/>
              </w:rPr>
            </w:pPr>
            <w:r>
              <w:rPr>
                <w:rFonts w:hint="eastAsia"/>
                <w:color w:val="auto"/>
                <w:kern w:val="0"/>
                <w:sz w:val="21"/>
                <w:szCs w:val="21"/>
                <w:highlight w:val="none"/>
              </w:rPr>
              <w:t>5</w:t>
            </w:r>
          </w:p>
        </w:tc>
        <w:tc>
          <w:tcPr>
            <w:tcW w:w="282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管网铺设</w:t>
            </w:r>
          </w:p>
        </w:tc>
        <w:tc>
          <w:tcPr>
            <w:tcW w:w="84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rFonts w:hint="eastAsia" w:ascii="宋体" w:hAnsi="宋体"/>
                <w:color w:val="auto"/>
                <w:kern w:val="0"/>
                <w:sz w:val="21"/>
                <w:szCs w:val="21"/>
                <w:highlight w:val="none"/>
              </w:rPr>
            </w:pPr>
            <w:r>
              <w:rPr>
                <w:rFonts w:ascii="宋体" w:hAnsi="宋体"/>
                <w:color w:val="auto"/>
                <w:kern w:val="0"/>
                <w:sz w:val="21"/>
                <w:szCs w:val="21"/>
                <w:highlight w:val="none"/>
              </w:rPr>
              <w:t>m</w:t>
            </w:r>
          </w:p>
        </w:tc>
        <w:tc>
          <w:tcPr>
            <w:tcW w:w="860"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color w:val="auto"/>
                <w:kern w:val="0"/>
                <w:sz w:val="21"/>
                <w:szCs w:val="21"/>
                <w:highlight w:val="none"/>
              </w:rPr>
            </w:pPr>
            <w:r>
              <w:rPr>
                <w:rFonts w:hint="eastAsia"/>
                <w:color w:val="auto"/>
                <w:kern w:val="0"/>
                <w:sz w:val="21"/>
                <w:szCs w:val="21"/>
                <w:highlight w:val="none"/>
              </w:rPr>
              <w:t>1</w:t>
            </w:r>
            <w:r>
              <w:rPr>
                <w:color w:val="auto"/>
                <w:kern w:val="0"/>
                <w:sz w:val="21"/>
                <w:szCs w:val="21"/>
                <w:highlight w:val="none"/>
              </w:rPr>
              <w:t>00</w:t>
            </w:r>
          </w:p>
        </w:tc>
        <w:tc>
          <w:tcPr>
            <w:tcW w:w="1943"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color w:val="auto"/>
                <w:kern w:val="0"/>
                <w:sz w:val="21"/>
                <w:szCs w:val="21"/>
                <w:highlight w:val="none"/>
              </w:rPr>
            </w:pPr>
            <w:r>
              <w:rPr>
                <w:rFonts w:hint="eastAsia"/>
                <w:color w:val="auto"/>
                <w:kern w:val="0"/>
                <w:sz w:val="21"/>
                <w:szCs w:val="21"/>
                <w:highlight w:val="none"/>
              </w:rPr>
              <w:t>5</w:t>
            </w:r>
          </w:p>
        </w:tc>
        <w:tc>
          <w:tcPr>
            <w:tcW w:w="156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color w:val="auto"/>
                <w:kern w:val="0"/>
                <w:sz w:val="21"/>
                <w:szCs w:val="21"/>
                <w:highlight w:val="none"/>
              </w:rPr>
            </w:pPr>
            <w:r>
              <w:rPr>
                <w:rFonts w:hint="eastAsia"/>
                <w:color w:val="auto"/>
                <w:kern w:val="0"/>
                <w:sz w:val="21"/>
                <w:szCs w:val="21"/>
                <w:highlight w:val="none"/>
              </w:rPr>
              <w:t>0</w:t>
            </w:r>
            <w:r>
              <w:rPr>
                <w:color w:val="auto"/>
                <w:kern w:val="0"/>
                <w:sz w:val="21"/>
                <w:szCs w:val="21"/>
                <w:highlight w:val="none"/>
              </w:rPr>
              <w:t>.05</w:t>
            </w:r>
          </w:p>
        </w:tc>
      </w:tr>
      <w:tr>
        <w:tblPrEx>
          <w:tblCellMar>
            <w:top w:w="0" w:type="dxa"/>
            <w:left w:w="108" w:type="dxa"/>
            <w:bottom w:w="0" w:type="dxa"/>
            <w:right w:w="108" w:type="dxa"/>
          </w:tblCellMar>
        </w:tblPrEx>
        <w:trPr>
          <w:trHeight w:val="300" w:hRule="atLeast"/>
        </w:trPr>
        <w:tc>
          <w:tcPr>
            <w:tcW w:w="640"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color w:val="auto"/>
                <w:kern w:val="0"/>
                <w:sz w:val="21"/>
                <w:szCs w:val="21"/>
                <w:highlight w:val="none"/>
              </w:rPr>
            </w:pPr>
            <w:r>
              <w:rPr>
                <w:color w:val="auto"/>
                <w:kern w:val="0"/>
                <w:sz w:val="21"/>
                <w:szCs w:val="21"/>
                <w:highlight w:val="none"/>
              </w:rPr>
              <w:t>6</w:t>
            </w:r>
          </w:p>
        </w:tc>
        <w:tc>
          <w:tcPr>
            <w:tcW w:w="282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运行费</w:t>
            </w:r>
          </w:p>
        </w:tc>
        <w:tc>
          <w:tcPr>
            <w:tcW w:w="84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color w:val="auto"/>
                <w:kern w:val="0"/>
                <w:sz w:val="21"/>
                <w:szCs w:val="21"/>
                <w:highlight w:val="none"/>
              </w:rPr>
            </w:pPr>
            <w:r>
              <w:rPr>
                <w:rFonts w:hint="eastAsia" w:ascii="宋体" w:hAnsi="宋体"/>
                <w:color w:val="auto"/>
                <w:kern w:val="0"/>
                <w:sz w:val="21"/>
                <w:szCs w:val="21"/>
                <w:highlight w:val="none"/>
              </w:rPr>
              <w:t>月</w:t>
            </w:r>
          </w:p>
        </w:tc>
        <w:tc>
          <w:tcPr>
            <w:tcW w:w="860"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color w:val="auto"/>
                <w:kern w:val="0"/>
                <w:sz w:val="21"/>
                <w:szCs w:val="21"/>
                <w:highlight w:val="none"/>
              </w:rPr>
            </w:pPr>
            <w:r>
              <w:rPr>
                <w:color w:val="auto"/>
                <w:kern w:val="0"/>
                <w:sz w:val="21"/>
                <w:szCs w:val="21"/>
                <w:highlight w:val="none"/>
              </w:rPr>
              <w:t>6</w:t>
            </w:r>
          </w:p>
        </w:tc>
        <w:tc>
          <w:tcPr>
            <w:tcW w:w="1943"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color w:val="auto"/>
                <w:kern w:val="0"/>
                <w:sz w:val="21"/>
                <w:szCs w:val="21"/>
                <w:highlight w:val="none"/>
              </w:rPr>
            </w:pPr>
            <w:r>
              <w:rPr>
                <w:color w:val="auto"/>
                <w:kern w:val="0"/>
                <w:sz w:val="21"/>
                <w:szCs w:val="21"/>
                <w:highlight w:val="none"/>
              </w:rPr>
              <w:t>500</w:t>
            </w:r>
          </w:p>
        </w:tc>
        <w:tc>
          <w:tcPr>
            <w:tcW w:w="156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color w:val="auto"/>
                <w:kern w:val="0"/>
                <w:sz w:val="21"/>
                <w:szCs w:val="21"/>
                <w:highlight w:val="none"/>
              </w:rPr>
            </w:pPr>
            <w:r>
              <w:rPr>
                <w:rFonts w:hint="eastAsia"/>
                <w:color w:val="auto"/>
                <w:kern w:val="0"/>
                <w:sz w:val="21"/>
                <w:szCs w:val="21"/>
                <w:highlight w:val="none"/>
              </w:rPr>
              <w:t>0</w:t>
            </w:r>
            <w:r>
              <w:rPr>
                <w:color w:val="auto"/>
                <w:kern w:val="0"/>
                <w:sz w:val="21"/>
                <w:szCs w:val="21"/>
                <w:highlight w:val="none"/>
              </w:rPr>
              <w:t>.3</w:t>
            </w:r>
          </w:p>
        </w:tc>
      </w:tr>
      <w:tr>
        <w:tblPrEx>
          <w:tblCellMar>
            <w:top w:w="0" w:type="dxa"/>
            <w:left w:w="108" w:type="dxa"/>
            <w:bottom w:w="0" w:type="dxa"/>
            <w:right w:w="108" w:type="dxa"/>
          </w:tblCellMar>
        </w:tblPrEx>
        <w:trPr>
          <w:trHeight w:val="300" w:hRule="atLeast"/>
        </w:trPr>
        <w:tc>
          <w:tcPr>
            <w:tcW w:w="3460"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b/>
                <w:bCs/>
                <w:color w:val="auto"/>
                <w:kern w:val="0"/>
                <w:sz w:val="21"/>
                <w:szCs w:val="21"/>
                <w:highlight w:val="none"/>
              </w:rPr>
            </w:pPr>
            <w:r>
              <w:rPr>
                <w:rFonts w:hint="eastAsia" w:ascii="宋体" w:hAnsi="宋体"/>
                <w:b/>
                <w:bCs/>
                <w:color w:val="auto"/>
                <w:kern w:val="0"/>
                <w:sz w:val="21"/>
                <w:szCs w:val="21"/>
                <w:highlight w:val="none"/>
              </w:rPr>
              <w:t>三、噪声防治</w:t>
            </w:r>
          </w:p>
        </w:tc>
        <w:tc>
          <w:tcPr>
            <w:tcW w:w="84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b/>
                <w:bCs/>
                <w:color w:val="auto"/>
                <w:kern w:val="0"/>
                <w:sz w:val="21"/>
                <w:szCs w:val="21"/>
                <w:highlight w:val="none"/>
              </w:rPr>
            </w:pPr>
            <w:r>
              <w:rPr>
                <w:rFonts w:hint="eastAsia" w:ascii="宋体" w:hAnsi="宋体"/>
                <w:b/>
                <w:bCs/>
                <w:color w:val="auto"/>
                <w:kern w:val="0"/>
                <w:sz w:val="21"/>
                <w:szCs w:val="21"/>
                <w:highlight w:val="none"/>
              </w:rPr>
              <w:t>天</w:t>
            </w:r>
          </w:p>
        </w:tc>
        <w:tc>
          <w:tcPr>
            <w:tcW w:w="86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b/>
                <w:bCs/>
                <w:color w:val="auto"/>
                <w:kern w:val="0"/>
                <w:sz w:val="21"/>
                <w:szCs w:val="21"/>
                <w:highlight w:val="none"/>
              </w:rPr>
            </w:pPr>
            <w:r>
              <w:rPr>
                <w:b/>
                <w:bCs/>
                <w:color w:val="auto"/>
                <w:kern w:val="0"/>
                <w:sz w:val="21"/>
                <w:szCs w:val="21"/>
                <w:highlight w:val="none"/>
              </w:rPr>
              <w:t>180</w:t>
            </w:r>
          </w:p>
        </w:tc>
        <w:tc>
          <w:tcPr>
            <w:tcW w:w="1943"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b/>
                <w:bCs/>
                <w:color w:val="auto"/>
                <w:kern w:val="0"/>
                <w:sz w:val="21"/>
                <w:szCs w:val="21"/>
                <w:highlight w:val="none"/>
              </w:rPr>
            </w:pPr>
            <w:r>
              <w:rPr>
                <w:b/>
                <w:bCs/>
                <w:color w:val="auto"/>
                <w:kern w:val="0"/>
                <w:sz w:val="21"/>
                <w:szCs w:val="21"/>
                <w:highlight w:val="none"/>
              </w:rPr>
              <w:t>200</w:t>
            </w:r>
          </w:p>
        </w:tc>
        <w:tc>
          <w:tcPr>
            <w:tcW w:w="156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b/>
                <w:bCs/>
                <w:color w:val="auto"/>
                <w:kern w:val="0"/>
                <w:sz w:val="21"/>
                <w:szCs w:val="21"/>
                <w:highlight w:val="none"/>
              </w:rPr>
            </w:pPr>
            <w:r>
              <w:rPr>
                <w:rFonts w:hint="eastAsia"/>
                <w:b/>
                <w:bCs/>
                <w:color w:val="auto"/>
                <w:kern w:val="0"/>
                <w:sz w:val="21"/>
                <w:szCs w:val="21"/>
                <w:highlight w:val="none"/>
              </w:rPr>
              <w:t>3</w:t>
            </w:r>
            <w:r>
              <w:rPr>
                <w:b/>
                <w:bCs/>
                <w:color w:val="auto"/>
                <w:kern w:val="0"/>
                <w:sz w:val="21"/>
                <w:szCs w:val="21"/>
                <w:highlight w:val="none"/>
              </w:rPr>
              <w:t>.6</w:t>
            </w:r>
          </w:p>
        </w:tc>
      </w:tr>
      <w:tr>
        <w:tblPrEx>
          <w:tblCellMar>
            <w:top w:w="0" w:type="dxa"/>
            <w:left w:w="108" w:type="dxa"/>
            <w:bottom w:w="0" w:type="dxa"/>
            <w:right w:w="108" w:type="dxa"/>
          </w:tblCellMar>
        </w:tblPrEx>
        <w:trPr>
          <w:trHeight w:val="300" w:hRule="atLeast"/>
        </w:trPr>
        <w:tc>
          <w:tcPr>
            <w:tcW w:w="3460"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pPr>
              <w:spacing w:line="240" w:lineRule="auto"/>
              <w:ind w:firstLine="422"/>
              <w:jc w:val="center"/>
              <w:rPr>
                <w:b/>
                <w:bCs/>
                <w:color w:val="auto"/>
                <w:kern w:val="0"/>
                <w:sz w:val="21"/>
                <w:szCs w:val="21"/>
                <w:highlight w:val="none"/>
              </w:rPr>
            </w:pPr>
            <w:r>
              <w:rPr>
                <w:rFonts w:hint="eastAsia" w:ascii="宋体" w:hAnsi="宋体"/>
                <w:b/>
                <w:bCs/>
                <w:color w:val="auto"/>
                <w:kern w:val="0"/>
                <w:sz w:val="21"/>
                <w:szCs w:val="21"/>
                <w:highlight w:val="none"/>
              </w:rPr>
              <w:t>四、固体废物处理</w:t>
            </w:r>
          </w:p>
        </w:tc>
        <w:tc>
          <w:tcPr>
            <w:tcW w:w="84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b/>
                <w:bCs/>
                <w:color w:val="auto"/>
                <w:kern w:val="0"/>
                <w:sz w:val="21"/>
                <w:szCs w:val="21"/>
                <w:highlight w:val="none"/>
              </w:rPr>
            </w:pPr>
            <w:r>
              <w:rPr>
                <w:rFonts w:hint="eastAsia" w:ascii="宋体" w:hAnsi="宋体"/>
                <w:b/>
                <w:bCs/>
                <w:color w:val="auto"/>
                <w:kern w:val="0"/>
                <w:sz w:val="21"/>
                <w:szCs w:val="21"/>
                <w:highlight w:val="none"/>
              </w:rPr>
              <w:t>月</w:t>
            </w:r>
          </w:p>
        </w:tc>
        <w:tc>
          <w:tcPr>
            <w:tcW w:w="86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b/>
                <w:bCs/>
                <w:color w:val="auto"/>
                <w:kern w:val="0"/>
                <w:sz w:val="21"/>
                <w:szCs w:val="21"/>
                <w:highlight w:val="none"/>
              </w:rPr>
            </w:pPr>
            <w:r>
              <w:rPr>
                <w:b/>
                <w:bCs/>
                <w:color w:val="auto"/>
                <w:kern w:val="0"/>
                <w:sz w:val="21"/>
                <w:szCs w:val="21"/>
                <w:highlight w:val="none"/>
              </w:rPr>
              <w:t>6</w:t>
            </w:r>
          </w:p>
        </w:tc>
        <w:tc>
          <w:tcPr>
            <w:tcW w:w="1943"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b/>
                <w:bCs/>
                <w:color w:val="auto"/>
                <w:kern w:val="0"/>
                <w:sz w:val="21"/>
                <w:szCs w:val="21"/>
                <w:highlight w:val="none"/>
              </w:rPr>
            </w:pPr>
          </w:p>
        </w:tc>
        <w:tc>
          <w:tcPr>
            <w:tcW w:w="156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b/>
                <w:bCs/>
                <w:color w:val="auto"/>
                <w:kern w:val="0"/>
                <w:sz w:val="21"/>
                <w:szCs w:val="21"/>
                <w:highlight w:val="none"/>
              </w:rPr>
            </w:pPr>
            <w:r>
              <w:rPr>
                <w:rFonts w:hint="eastAsia"/>
                <w:b/>
                <w:bCs/>
                <w:color w:val="auto"/>
                <w:kern w:val="0"/>
                <w:sz w:val="21"/>
                <w:szCs w:val="21"/>
                <w:highlight w:val="none"/>
              </w:rPr>
              <w:t>0</w:t>
            </w:r>
            <w:r>
              <w:rPr>
                <w:b/>
                <w:bCs/>
                <w:color w:val="auto"/>
                <w:kern w:val="0"/>
                <w:sz w:val="21"/>
                <w:szCs w:val="21"/>
                <w:highlight w:val="none"/>
              </w:rPr>
              <w:t>.8</w:t>
            </w:r>
          </w:p>
        </w:tc>
      </w:tr>
      <w:tr>
        <w:tblPrEx>
          <w:tblCellMar>
            <w:top w:w="0" w:type="dxa"/>
            <w:left w:w="108" w:type="dxa"/>
            <w:bottom w:w="0" w:type="dxa"/>
            <w:right w:w="108" w:type="dxa"/>
          </w:tblCellMar>
        </w:tblPrEx>
        <w:trPr>
          <w:trHeight w:val="300" w:hRule="atLeast"/>
        </w:trPr>
        <w:tc>
          <w:tcPr>
            <w:tcW w:w="63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rFonts w:hint="eastAsia" w:ascii="宋体" w:hAnsi="宋体"/>
                <w:color w:val="auto"/>
                <w:kern w:val="0"/>
                <w:sz w:val="21"/>
                <w:szCs w:val="21"/>
                <w:highlight w:val="none"/>
              </w:rPr>
            </w:pPr>
          </w:p>
        </w:tc>
        <w:tc>
          <w:tcPr>
            <w:tcW w:w="2826"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pPr>
              <w:spacing w:line="240" w:lineRule="auto"/>
              <w:ind w:firstLine="420"/>
              <w:jc w:val="center"/>
              <w:rPr>
                <w:rFonts w:hint="eastAsia" w:ascii="宋体" w:hAnsi="宋体"/>
                <w:color w:val="auto"/>
                <w:kern w:val="0"/>
                <w:sz w:val="21"/>
                <w:szCs w:val="21"/>
                <w:highlight w:val="none"/>
              </w:rPr>
            </w:pPr>
            <w:r>
              <w:rPr>
                <w:rFonts w:hint="eastAsia" w:ascii="宋体" w:hAnsi="宋体" w:cs="宋体"/>
                <w:color w:val="auto"/>
                <w:kern w:val="0"/>
                <w:sz w:val="21"/>
                <w:szCs w:val="21"/>
                <w:highlight w:val="none"/>
              </w:rPr>
              <w:t>垃圾集中池</w:t>
            </w:r>
          </w:p>
        </w:tc>
        <w:tc>
          <w:tcPr>
            <w:tcW w:w="84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color w:val="auto"/>
                <w:kern w:val="0"/>
                <w:sz w:val="21"/>
                <w:szCs w:val="21"/>
                <w:highlight w:val="none"/>
              </w:rPr>
            </w:pPr>
            <w:r>
              <w:rPr>
                <w:rFonts w:hint="eastAsia" w:ascii="宋体" w:hAnsi="宋体"/>
                <w:color w:val="auto"/>
                <w:kern w:val="0"/>
                <w:sz w:val="21"/>
                <w:szCs w:val="21"/>
                <w:highlight w:val="none"/>
              </w:rPr>
              <w:t>个</w:t>
            </w:r>
          </w:p>
        </w:tc>
        <w:tc>
          <w:tcPr>
            <w:tcW w:w="860"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color w:val="auto"/>
                <w:kern w:val="0"/>
                <w:sz w:val="21"/>
                <w:szCs w:val="21"/>
                <w:highlight w:val="none"/>
              </w:rPr>
            </w:pPr>
            <w:r>
              <w:rPr>
                <w:rFonts w:hint="eastAsia"/>
                <w:color w:val="auto"/>
                <w:kern w:val="0"/>
                <w:sz w:val="21"/>
                <w:szCs w:val="21"/>
                <w:highlight w:val="none"/>
              </w:rPr>
              <w:t>1</w:t>
            </w:r>
          </w:p>
        </w:tc>
        <w:tc>
          <w:tcPr>
            <w:tcW w:w="1943"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color w:val="auto"/>
                <w:kern w:val="0"/>
                <w:sz w:val="21"/>
                <w:szCs w:val="21"/>
                <w:highlight w:val="none"/>
              </w:rPr>
            </w:pPr>
            <w:r>
              <w:rPr>
                <w:rFonts w:hint="eastAsia"/>
                <w:color w:val="auto"/>
                <w:kern w:val="0"/>
                <w:sz w:val="21"/>
                <w:szCs w:val="21"/>
                <w:highlight w:val="none"/>
              </w:rPr>
              <w:t>1</w:t>
            </w:r>
            <w:r>
              <w:rPr>
                <w:color w:val="auto"/>
                <w:kern w:val="0"/>
                <w:sz w:val="21"/>
                <w:szCs w:val="21"/>
                <w:highlight w:val="none"/>
              </w:rPr>
              <w:t>000</w:t>
            </w:r>
          </w:p>
        </w:tc>
        <w:tc>
          <w:tcPr>
            <w:tcW w:w="156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color w:val="auto"/>
                <w:kern w:val="0"/>
                <w:sz w:val="21"/>
                <w:szCs w:val="21"/>
                <w:highlight w:val="none"/>
              </w:rPr>
            </w:pPr>
            <w:r>
              <w:rPr>
                <w:rFonts w:hint="eastAsia"/>
                <w:color w:val="auto"/>
                <w:kern w:val="0"/>
                <w:sz w:val="21"/>
                <w:szCs w:val="21"/>
                <w:highlight w:val="none"/>
              </w:rPr>
              <w:t>0</w:t>
            </w:r>
            <w:r>
              <w:rPr>
                <w:color w:val="auto"/>
                <w:kern w:val="0"/>
                <w:sz w:val="21"/>
                <w:szCs w:val="21"/>
                <w:highlight w:val="none"/>
              </w:rPr>
              <w:t>.1</w:t>
            </w:r>
          </w:p>
        </w:tc>
      </w:tr>
      <w:tr>
        <w:tblPrEx>
          <w:tblCellMar>
            <w:top w:w="0" w:type="dxa"/>
            <w:left w:w="108" w:type="dxa"/>
            <w:bottom w:w="0" w:type="dxa"/>
            <w:right w:w="108" w:type="dxa"/>
          </w:tblCellMar>
        </w:tblPrEx>
        <w:trPr>
          <w:trHeight w:val="300" w:hRule="atLeast"/>
        </w:trPr>
        <w:tc>
          <w:tcPr>
            <w:tcW w:w="63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rFonts w:hint="eastAsia" w:ascii="宋体" w:hAnsi="宋体"/>
                <w:color w:val="auto"/>
                <w:kern w:val="0"/>
                <w:sz w:val="21"/>
                <w:szCs w:val="21"/>
                <w:highlight w:val="none"/>
              </w:rPr>
            </w:pPr>
          </w:p>
        </w:tc>
        <w:tc>
          <w:tcPr>
            <w:tcW w:w="2826"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pPr>
              <w:spacing w:line="240" w:lineRule="auto"/>
              <w:ind w:firstLine="420"/>
              <w:jc w:val="center"/>
              <w:rPr>
                <w:rFonts w:hint="eastAsia" w:ascii="宋体" w:hAnsi="宋体"/>
                <w:color w:val="auto"/>
                <w:kern w:val="0"/>
                <w:sz w:val="21"/>
                <w:szCs w:val="21"/>
                <w:highlight w:val="none"/>
              </w:rPr>
            </w:pPr>
            <w:r>
              <w:rPr>
                <w:rFonts w:hint="eastAsia" w:ascii="宋体" w:hAnsi="宋体" w:cs="宋体"/>
                <w:color w:val="auto"/>
                <w:kern w:val="0"/>
                <w:sz w:val="21"/>
                <w:szCs w:val="21"/>
                <w:highlight w:val="none"/>
              </w:rPr>
              <w:t>泔水桶</w:t>
            </w:r>
          </w:p>
        </w:tc>
        <w:tc>
          <w:tcPr>
            <w:tcW w:w="84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color w:val="auto"/>
                <w:kern w:val="0"/>
                <w:sz w:val="21"/>
                <w:szCs w:val="21"/>
                <w:highlight w:val="none"/>
              </w:rPr>
            </w:pPr>
            <w:r>
              <w:rPr>
                <w:rFonts w:hint="eastAsia" w:ascii="宋体" w:hAnsi="宋体" w:cs="宋体"/>
                <w:color w:val="auto"/>
                <w:kern w:val="0"/>
                <w:sz w:val="21"/>
                <w:szCs w:val="21"/>
                <w:highlight w:val="none"/>
              </w:rPr>
              <w:t>个</w:t>
            </w:r>
          </w:p>
        </w:tc>
        <w:tc>
          <w:tcPr>
            <w:tcW w:w="860"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color w:val="auto"/>
                <w:kern w:val="0"/>
                <w:sz w:val="21"/>
                <w:szCs w:val="21"/>
                <w:highlight w:val="none"/>
              </w:rPr>
            </w:pPr>
            <w:r>
              <w:rPr>
                <w:color w:val="auto"/>
                <w:kern w:val="0"/>
                <w:sz w:val="21"/>
                <w:szCs w:val="21"/>
                <w:highlight w:val="none"/>
              </w:rPr>
              <w:t>1</w:t>
            </w:r>
          </w:p>
        </w:tc>
        <w:tc>
          <w:tcPr>
            <w:tcW w:w="1943"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color w:val="auto"/>
                <w:kern w:val="0"/>
                <w:sz w:val="21"/>
                <w:szCs w:val="21"/>
                <w:highlight w:val="none"/>
              </w:rPr>
            </w:pPr>
            <w:r>
              <w:rPr>
                <w:color w:val="auto"/>
                <w:kern w:val="0"/>
                <w:sz w:val="21"/>
                <w:szCs w:val="21"/>
                <w:highlight w:val="none"/>
              </w:rPr>
              <w:t>200</w:t>
            </w:r>
          </w:p>
        </w:tc>
        <w:tc>
          <w:tcPr>
            <w:tcW w:w="156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color w:val="auto"/>
                <w:kern w:val="0"/>
                <w:sz w:val="21"/>
                <w:szCs w:val="21"/>
                <w:highlight w:val="none"/>
              </w:rPr>
            </w:pPr>
            <w:r>
              <w:rPr>
                <w:color w:val="auto"/>
                <w:kern w:val="0"/>
                <w:sz w:val="21"/>
                <w:szCs w:val="21"/>
                <w:highlight w:val="none"/>
              </w:rPr>
              <w:t>0.02</w:t>
            </w:r>
          </w:p>
        </w:tc>
      </w:tr>
      <w:tr>
        <w:tblPrEx>
          <w:tblCellMar>
            <w:top w:w="0" w:type="dxa"/>
            <w:left w:w="108" w:type="dxa"/>
            <w:bottom w:w="0" w:type="dxa"/>
            <w:right w:w="108" w:type="dxa"/>
          </w:tblCellMar>
        </w:tblPrEx>
        <w:trPr>
          <w:trHeight w:val="300" w:hRule="atLeast"/>
        </w:trPr>
        <w:tc>
          <w:tcPr>
            <w:tcW w:w="63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rFonts w:hint="eastAsia" w:ascii="宋体" w:hAnsi="宋体"/>
                <w:color w:val="auto"/>
                <w:kern w:val="0"/>
                <w:sz w:val="21"/>
                <w:szCs w:val="21"/>
                <w:highlight w:val="none"/>
              </w:rPr>
            </w:pPr>
          </w:p>
        </w:tc>
        <w:tc>
          <w:tcPr>
            <w:tcW w:w="2826"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pPr>
              <w:spacing w:line="240" w:lineRule="auto"/>
              <w:ind w:firstLine="420"/>
              <w:jc w:val="center"/>
              <w:rPr>
                <w:rFonts w:hint="eastAsia" w:ascii="宋体" w:hAnsi="宋体"/>
                <w:color w:val="auto"/>
                <w:kern w:val="0"/>
                <w:sz w:val="21"/>
                <w:szCs w:val="21"/>
                <w:highlight w:val="none"/>
              </w:rPr>
            </w:pPr>
            <w:r>
              <w:rPr>
                <w:rFonts w:hint="eastAsia" w:ascii="宋体" w:hAnsi="宋体" w:cs="宋体"/>
                <w:color w:val="auto"/>
                <w:kern w:val="0"/>
                <w:sz w:val="21"/>
                <w:szCs w:val="21"/>
                <w:highlight w:val="none"/>
              </w:rPr>
              <w:t>垃圾桶</w:t>
            </w:r>
          </w:p>
        </w:tc>
        <w:tc>
          <w:tcPr>
            <w:tcW w:w="84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color w:val="auto"/>
                <w:kern w:val="0"/>
                <w:sz w:val="21"/>
                <w:szCs w:val="21"/>
                <w:highlight w:val="none"/>
              </w:rPr>
            </w:pPr>
            <w:r>
              <w:rPr>
                <w:rFonts w:hint="eastAsia" w:ascii="宋体" w:hAnsi="宋体" w:cs="宋体"/>
                <w:color w:val="auto"/>
                <w:kern w:val="0"/>
                <w:sz w:val="21"/>
                <w:szCs w:val="21"/>
                <w:highlight w:val="none"/>
              </w:rPr>
              <w:t>个</w:t>
            </w:r>
          </w:p>
        </w:tc>
        <w:tc>
          <w:tcPr>
            <w:tcW w:w="860"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color w:val="auto"/>
                <w:kern w:val="0"/>
                <w:sz w:val="21"/>
                <w:szCs w:val="21"/>
                <w:highlight w:val="none"/>
              </w:rPr>
            </w:pPr>
            <w:r>
              <w:rPr>
                <w:color w:val="auto"/>
                <w:kern w:val="0"/>
                <w:sz w:val="21"/>
                <w:szCs w:val="21"/>
                <w:highlight w:val="none"/>
              </w:rPr>
              <w:t>4</w:t>
            </w:r>
          </w:p>
        </w:tc>
        <w:tc>
          <w:tcPr>
            <w:tcW w:w="1943"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color w:val="auto"/>
                <w:kern w:val="0"/>
                <w:sz w:val="21"/>
                <w:szCs w:val="21"/>
                <w:highlight w:val="none"/>
              </w:rPr>
            </w:pPr>
            <w:r>
              <w:rPr>
                <w:color w:val="auto"/>
                <w:kern w:val="0"/>
                <w:sz w:val="21"/>
                <w:szCs w:val="21"/>
                <w:highlight w:val="none"/>
              </w:rPr>
              <w:t>200</w:t>
            </w:r>
          </w:p>
        </w:tc>
        <w:tc>
          <w:tcPr>
            <w:tcW w:w="156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color w:val="auto"/>
                <w:kern w:val="0"/>
                <w:sz w:val="21"/>
                <w:szCs w:val="21"/>
                <w:highlight w:val="none"/>
              </w:rPr>
            </w:pPr>
            <w:r>
              <w:rPr>
                <w:color w:val="auto"/>
                <w:kern w:val="0"/>
                <w:sz w:val="21"/>
                <w:szCs w:val="21"/>
                <w:highlight w:val="none"/>
              </w:rPr>
              <w:t>0.08</w:t>
            </w:r>
          </w:p>
        </w:tc>
      </w:tr>
      <w:tr>
        <w:tblPrEx>
          <w:tblCellMar>
            <w:top w:w="0" w:type="dxa"/>
            <w:left w:w="108" w:type="dxa"/>
            <w:bottom w:w="0" w:type="dxa"/>
            <w:right w:w="108" w:type="dxa"/>
          </w:tblCellMar>
        </w:tblPrEx>
        <w:trPr>
          <w:trHeight w:val="300" w:hRule="atLeast"/>
        </w:trPr>
        <w:tc>
          <w:tcPr>
            <w:tcW w:w="63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rFonts w:hint="eastAsia" w:ascii="宋体" w:hAnsi="宋体"/>
                <w:color w:val="auto"/>
                <w:kern w:val="0"/>
                <w:sz w:val="21"/>
                <w:szCs w:val="21"/>
                <w:highlight w:val="none"/>
              </w:rPr>
            </w:pPr>
          </w:p>
        </w:tc>
        <w:tc>
          <w:tcPr>
            <w:tcW w:w="2826"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pPr>
              <w:spacing w:line="240" w:lineRule="auto"/>
              <w:ind w:firstLine="420"/>
              <w:jc w:val="center"/>
              <w:rPr>
                <w:rFonts w:hint="eastAsia" w:ascii="宋体" w:hAnsi="宋体"/>
                <w:color w:val="auto"/>
                <w:kern w:val="0"/>
                <w:sz w:val="21"/>
                <w:szCs w:val="21"/>
                <w:highlight w:val="none"/>
              </w:rPr>
            </w:pPr>
            <w:r>
              <w:rPr>
                <w:rFonts w:hint="eastAsia" w:ascii="宋体" w:hAnsi="宋体"/>
                <w:color w:val="auto"/>
                <w:kern w:val="0"/>
                <w:sz w:val="21"/>
                <w:szCs w:val="21"/>
                <w:highlight w:val="none"/>
              </w:rPr>
              <w:t>清运费</w:t>
            </w:r>
          </w:p>
        </w:tc>
        <w:tc>
          <w:tcPr>
            <w:tcW w:w="84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color w:val="auto"/>
                <w:kern w:val="0"/>
                <w:sz w:val="21"/>
                <w:szCs w:val="21"/>
                <w:highlight w:val="none"/>
              </w:rPr>
            </w:pPr>
            <w:r>
              <w:rPr>
                <w:rFonts w:hint="eastAsia"/>
                <w:color w:val="auto"/>
                <w:kern w:val="0"/>
                <w:sz w:val="21"/>
                <w:szCs w:val="21"/>
                <w:highlight w:val="none"/>
              </w:rPr>
              <w:t>月</w:t>
            </w:r>
          </w:p>
        </w:tc>
        <w:tc>
          <w:tcPr>
            <w:tcW w:w="860"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color w:val="auto"/>
                <w:kern w:val="0"/>
                <w:sz w:val="21"/>
                <w:szCs w:val="21"/>
                <w:highlight w:val="none"/>
              </w:rPr>
            </w:pPr>
            <w:r>
              <w:rPr>
                <w:color w:val="auto"/>
                <w:kern w:val="0"/>
                <w:sz w:val="21"/>
                <w:szCs w:val="21"/>
                <w:highlight w:val="none"/>
              </w:rPr>
              <w:t>6</w:t>
            </w:r>
          </w:p>
        </w:tc>
        <w:tc>
          <w:tcPr>
            <w:tcW w:w="1943"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color w:val="auto"/>
                <w:kern w:val="0"/>
                <w:sz w:val="21"/>
                <w:szCs w:val="21"/>
                <w:highlight w:val="none"/>
              </w:rPr>
            </w:pPr>
            <w:r>
              <w:rPr>
                <w:rFonts w:hint="eastAsia"/>
                <w:color w:val="auto"/>
                <w:kern w:val="0"/>
                <w:sz w:val="21"/>
                <w:szCs w:val="21"/>
                <w:highlight w:val="none"/>
              </w:rPr>
              <w:t>1</w:t>
            </w:r>
            <w:r>
              <w:rPr>
                <w:color w:val="auto"/>
                <w:kern w:val="0"/>
                <w:sz w:val="21"/>
                <w:szCs w:val="21"/>
                <w:highlight w:val="none"/>
              </w:rPr>
              <w:t>000</w:t>
            </w:r>
          </w:p>
        </w:tc>
        <w:tc>
          <w:tcPr>
            <w:tcW w:w="156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color w:val="auto"/>
                <w:kern w:val="0"/>
                <w:sz w:val="21"/>
                <w:szCs w:val="21"/>
                <w:highlight w:val="none"/>
              </w:rPr>
            </w:pPr>
            <w:r>
              <w:rPr>
                <w:rFonts w:hint="eastAsia"/>
                <w:color w:val="auto"/>
                <w:kern w:val="0"/>
                <w:sz w:val="21"/>
                <w:szCs w:val="21"/>
                <w:highlight w:val="none"/>
              </w:rPr>
              <w:t>0</w:t>
            </w:r>
            <w:r>
              <w:rPr>
                <w:color w:val="auto"/>
                <w:kern w:val="0"/>
                <w:sz w:val="21"/>
                <w:szCs w:val="21"/>
                <w:highlight w:val="none"/>
              </w:rPr>
              <w:t>.6</w:t>
            </w:r>
          </w:p>
        </w:tc>
      </w:tr>
      <w:tr>
        <w:tblPrEx>
          <w:tblCellMar>
            <w:top w:w="0" w:type="dxa"/>
            <w:left w:w="108" w:type="dxa"/>
            <w:bottom w:w="0" w:type="dxa"/>
            <w:right w:w="108" w:type="dxa"/>
          </w:tblCellMar>
        </w:tblPrEx>
        <w:trPr>
          <w:trHeight w:val="300" w:hRule="atLeast"/>
        </w:trPr>
        <w:tc>
          <w:tcPr>
            <w:tcW w:w="3460"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b/>
                <w:bCs/>
                <w:color w:val="auto"/>
                <w:kern w:val="0"/>
                <w:sz w:val="21"/>
                <w:szCs w:val="21"/>
                <w:highlight w:val="none"/>
              </w:rPr>
            </w:pPr>
            <w:r>
              <w:rPr>
                <w:rFonts w:hint="eastAsia" w:ascii="宋体" w:hAnsi="宋体"/>
                <w:b/>
                <w:bCs/>
                <w:color w:val="auto"/>
                <w:kern w:val="0"/>
                <w:sz w:val="21"/>
                <w:szCs w:val="21"/>
                <w:highlight w:val="none"/>
              </w:rPr>
              <w:t>五、环境空气质量控制措施</w:t>
            </w:r>
          </w:p>
        </w:tc>
        <w:tc>
          <w:tcPr>
            <w:tcW w:w="84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b/>
                <w:bCs/>
                <w:color w:val="auto"/>
                <w:kern w:val="0"/>
                <w:sz w:val="21"/>
                <w:szCs w:val="21"/>
                <w:highlight w:val="none"/>
              </w:rPr>
            </w:pPr>
            <w:r>
              <w:rPr>
                <w:b/>
                <w:bCs/>
                <w:color w:val="auto"/>
                <w:kern w:val="0"/>
                <w:sz w:val="21"/>
                <w:szCs w:val="21"/>
                <w:highlight w:val="none"/>
              </w:rPr>
              <w:t>　</w:t>
            </w:r>
          </w:p>
        </w:tc>
        <w:tc>
          <w:tcPr>
            <w:tcW w:w="860"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b/>
                <w:bCs/>
                <w:color w:val="auto"/>
                <w:kern w:val="0"/>
                <w:sz w:val="21"/>
                <w:szCs w:val="21"/>
                <w:highlight w:val="none"/>
              </w:rPr>
            </w:pPr>
            <w:r>
              <w:rPr>
                <w:b/>
                <w:bCs/>
                <w:color w:val="auto"/>
                <w:kern w:val="0"/>
                <w:sz w:val="21"/>
                <w:szCs w:val="21"/>
                <w:highlight w:val="none"/>
              </w:rPr>
              <w:t>　</w:t>
            </w:r>
          </w:p>
        </w:tc>
        <w:tc>
          <w:tcPr>
            <w:tcW w:w="1943"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b/>
                <w:bCs/>
                <w:color w:val="auto"/>
                <w:kern w:val="0"/>
                <w:sz w:val="21"/>
                <w:szCs w:val="21"/>
                <w:highlight w:val="none"/>
              </w:rPr>
            </w:pPr>
            <w:r>
              <w:rPr>
                <w:b/>
                <w:bCs/>
                <w:color w:val="auto"/>
                <w:kern w:val="0"/>
                <w:sz w:val="21"/>
                <w:szCs w:val="21"/>
                <w:highlight w:val="none"/>
              </w:rPr>
              <w:t>　</w:t>
            </w:r>
          </w:p>
        </w:tc>
        <w:tc>
          <w:tcPr>
            <w:tcW w:w="156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b/>
                <w:bCs/>
                <w:color w:val="auto"/>
                <w:kern w:val="0"/>
                <w:sz w:val="21"/>
                <w:szCs w:val="21"/>
                <w:highlight w:val="none"/>
              </w:rPr>
            </w:pPr>
            <w:r>
              <w:rPr>
                <w:b/>
                <w:bCs/>
                <w:color w:val="auto"/>
                <w:kern w:val="0"/>
                <w:sz w:val="21"/>
                <w:szCs w:val="21"/>
                <w:highlight w:val="none"/>
              </w:rPr>
              <w:t>1.2</w:t>
            </w:r>
          </w:p>
        </w:tc>
      </w:tr>
      <w:tr>
        <w:tblPrEx>
          <w:tblCellMar>
            <w:top w:w="0" w:type="dxa"/>
            <w:left w:w="108" w:type="dxa"/>
            <w:bottom w:w="0" w:type="dxa"/>
            <w:right w:w="108" w:type="dxa"/>
          </w:tblCellMar>
        </w:tblPrEx>
        <w:trPr>
          <w:trHeight w:val="300" w:hRule="atLeast"/>
        </w:trPr>
        <w:tc>
          <w:tcPr>
            <w:tcW w:w="640"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color w:val="auto"/>
                <w:kern w:val="0"/>
                <w:sz w:val="21"/>
                <w:szCs w:val="21"/>
                <w:highlight w:val="none"/>
              </w:rPr>
            </w:pPr>
            <w:r>
              <w:rPr>
                <w:color w:val="auto"/>
                <w:kern w:val="0"/>
                <w:sz w:val="21"/>
                <w:szCs w:val="21"/>
                <w:highlight w:val="none"/>
              </w:rPr>
              <w:t>1</w:t>
            </w:r>
          </w:p>
        </w:tc>
        <w:tc>
          <w:tcPr>
            <w:tcW w:w="282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color w:val="auto"/>
                <w:kern w:val="0"/>
                <w:sz w:val="21"/>
                <w:szCs w:val="21"/>
                <w:highlight w:val="none"/>
              </w:rPr>
            </w:pPr>
            <w:r>
              <w:rPr>
                <w:rFonts w:hint="eastAsia" w:ascii="宋体" w:hAnsi="宋体"/>
                <w:color w:val="auto"/>
                <w:kern w:val="0"/>
                <w:sz w:val="21"/>
                <w:szCs w:val="21"/>
                <w:highlight w:val="none"/>
              </w:rPr>
              <w:t>降尘措施</w:t>
            </w:r>
          </w:p>
        </w:tc>
        <w:tc>
          <w:tcPr>
            <w:tcW w:w="84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月</w:t>
            </w:r>
          </w:p>
        </w:tc>
        <w:tc>
          <w:tcPr>
            <w:tcW w:w="86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color w:val="auto"/>
                <w:kern w:val="0"/>
                <w:sz w:val="21"/>
                <w:szCs w:val="21"/>
                <w:highlight w:val="none"/>
              </w:rPr>
            </w:pPr>
            <w:r>
              <w:rPr>
                <w:color w:val="auto"/>
                <w:kern w:val="0"/>
                <w:sz w:val="21"/>
                <w:szCs w:val="21"/>
                <w:highlight w:val="none"/>
              </w:rPr>
              <w:t>6</w:t>
            </w:r>
          </w:p>
        </w:tc>
        <w:tc>
          <w:tcPr>
            <w:tcW w:w="1943"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color w:val="auto"/>
                <w:kern w:val="0"/>
                <w:sz w:val="21"/>
                <w:szCs w:val="21"/>
                <w:highlight w:val="none"/>
              </w:rPr>
            </w:pPr>
            <w:r>
              <w:rPr>
                <w:color w:val="auto"/>
                <w:kern w:val="0"/>
                <w:sz w:val="21"/>
                <w:szCs w:val="21"/>
                <w:highlight w:val="none"/>
              </w:rPr>
              <w:t>2000</w:t>
            </w:r>
          </w:p>
        </w:tc>
        <w:tc>
          <w:tcPr>
            <w:tcW w:w="156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color w:val="auto"/>
                <w:kern w:val="0"/>
                <w:sz w:val="21"/>
                <w:szCs w:val="21"/>
                <w:highlight w:val="none"/>
              </w:rPr>
            </w:pPr>
            <w:r>
              <w:rPr>
                <w:color w:val="auto"/>
                <w:kern w:val="0"/>
                <w:sz w:val="21"/>
                <w:szCs w:val="21"/>
                <w:highlight w:val="none"/>
              </w:rPr>
              <w:t>1.2</w:t>
            </w:r>
          </w:p>
        </w:tc>
      </w:tr>
      <w:tr>
        <w:tblPrEx>
          <w:tblCellMar>
            <w:top w:w="0" w:type="dxa"/>
            <w:left w:w="108" w:type="dxa"/>
            <w:bottom w:w="0" w:type="dxa"/>
            <w:right w:w="108" w:type="dxa"/>
          </w:tblCellMar>
        </w:tblPrEx>
        <w:trPr>
          <w:trHeight w:val="300" w:hRule="atLeast"/>
        </w:trPr>
        <w:tc>
          <w:tcPr>
            <w:tcW w:w="3460"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b/>
                <w:bCs/>
                <w:color w:val="auto"/>
                <w:kern w:val="0"/>
                <w:sz w:val="21"/>
                <w:szCs w:val="21"/>
                <w:highlight w:val="none"/>
              </w:rPr>
            </w:pPr>
            <w:r>
              <w:rPr>
                <w:rFonts w:hint="eastAsia" w:ascii="宋体" w:hAnsi="宋体"/>
                <w:b/>
                <w:bCs/>
                <w:color w:val="auto"/>
                <w:kern w:val="0"/>
                <w:sz w:val="21"/>
                <w:szCs w:val="21"/>
                <w:highlight w:val="none"/>
              </w:rPr>
              <w:t>六、人群健康保护</w:t>
            </w:r>
          </w:p>
        </w:tc>
        <w:tc>
          <w:tcPr>
            <w:tcW w:w="84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b/>
                <w:bCs/>
                <w:color w:val="auto"/>
                <w:kern w:val="0"/>
                <w:sz w:val="21"/>
                <w:szCs w:val="21"/>
                <w:highlight w:val="none"/>
              </w:rPr>
            </w:pPr>
            <w:r>
              <w:rPr>
                <w:b/>
                <w:bCs/>
                <w:color w:val="auto"/>
                <w:kern w:val="0"/>
                <w:sz w:val="21"/>
                <w:szCs w:val="21"/>
                <w:highlight w:val="none"/>
              </w:rPr>
              <w:t>　</w:t>
            </w:r>
          </w:p>
        </w:tc>
        <w:tc>
          <w:tcPr>
            <w:tcW w:w="86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b/>
                <w:bCs/>
                <w:color w:val="auto"/>
                <w:kern w:val="0"/>
                <w:sz w:val="21"/>
                <w:szCs w:val="21"/>
                <w:highlight w:val="none"/>
              </w:rPr>
            </w:pPr>
            <w:r>
              <w:rPr>
                <w:b/>
                <w:bCs/>
                <w:color w:val="auto"/>
                <w:kern w:val="0"/>
                <w:sz w:val="21"/>
                <w:szCs w:val="21"/>
                <w:highlight w:val="none"/>
              </w:rPr>
              <w:t>　</w:t>
            </w:r>
          </w:p>
        </w:tc>
        <w:tc>
          <w:tcPr>
            <w:tcW w:w="1943"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b/>
                <w:bCs/>
                <w:color w:val="auto"/>
                <w:kern w:val="0"/>
                <w:sz w:val="21"/>
                <w:szCs w:val="21"/>
                <w:highlight w:val="none"/>
              </w:rPr>
            </w:pPr>
            <w:r>
              <w:rPr>
                <w:b/>
                <w:bCs/>
                <w:color w:val="auto"/>
                <w:kern w:val="0"/>
                <w:sz w:val="21"/>
                <w:szCs w:val="21"/>
                <w:highlight w:val="none"/>
              </w:rPr>
              <w:t>　</w:t>
            </w:r>
          </w:p>
        </w:tc>
        <w:tc>
          <w:tcPr>
            <w:tcW w:w="156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b/>
                <w:bCs/>
                <w:color w:val="auto"/>
                <w:kern w:val="0"/>
                <w:sz w:val="21"/>
                <w:szCs w:val="21"/>
                <w:highlight w:val="none"/>
              </w:rPr>
            </w:pPr>
            <w:r>
              <w:rPr>
                <w:b/>
                <w:bCs/>
                <w:color w:val="auto"/>
                <w:kern w:val="0"/>
                <w:sz w:val="21"/>
                <w:szCs w:val="21"/>
                <w:highlight w:val="none"/>
              </w:rPr>
              <w:t>0.12</w:t>
            </w:r>
          </w:p>
        </w:tc>
      </w:tr>
      <w:tr>
        <w:tblPrEx>
          <w:tblCellMar>
            <w:top w:w="0" w:type="dxa"/>
            <w:left w:w="108" w:type="dxa"/>
            <w:bottom w:w="0" w:type="dxa"/>
            <w:right w:w="108" w:type="dxa"/>
          </w:tblCellMar>
        </w:tblPrEx>
        <w:trPr>
          <w:trHeight w:val="300" w:hRule="atLeast"/>
        </w:trPr>
        <w:tc>
          <w:tcPr>
            <w:tcW w:w="640"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color w:val="auto"/>
                <w:kern w:val="0"/>
                <w:sz w:val="21"/>
                <w:szCs w:val="21"/>
                <w:highlight w:val="none"/>
              </w:rPr>
            </w:pPr>
            <w:r>
              <w:rPr>
                <w:color w:val="auto"/>
                <w:kern w:val="0"/>
                <w:sz w:val="21"/>
                <w:szCs w:val="21"/>
                <w:highlight w:val="none"/>
              </w:rPr>
              <w:t>1</w:t>
            </w:r>
          </w:p>
        </w:tc>
        <w:tc>
          <w:tcPr>
            <w:tcW w:w="282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color w:val="auto"/>
                <w:kern w:val="0"/>
                <w:sz w:val="21"/>
                <w:szCs w:val="21"/>
                <w:highlight w:val="none"/>
              </w:rPr>
            </w:pPr>
            <w:r>
              <w:rPr>
                <w:rFonts w:hint="eastAsia" w:ascii="宋体" w:hAnsi="宋体"/>
                <w:color w:val="auto"/>
                <w:kern w:val="0"/>
                <w:sz w:val="21"/>
                <w:szCs w:val="21"/>
                <w:highlight w:val="none"/>
              </w:rPr>
              <w:t>施工人群卫生检疫</w:t>
            </w:r>
          </w:p>
        </w:tc>
        <w:tc>
          <w:tcPr>
            <w:tcW w:w="84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color w:val="auto"/>
                <w:kern w:val="0"/>
                <w:sz w:val="21"/>
                <w:szCs w:val="21"/>
                <w:highlight w:val="none"/>
              </w:rPr>
            </w:pPr>
            <w:r>
              <w:rPr>
                <w:rFonts w:hint="eastAsia" w:ascii="宋体" w:hAnsi="宋体"/>
                <w:color w:val="auto"/>
                <w:kern w:val="0"/>
                <w:sz w:val="21"/>
                <w:szCs w:val="21"/>
                <w:highlight w:val="none"/>
              </w:rPr>
              <w:t>人</w:t>
            </w:r>
          </w:p>
        </w:tc>
        <w:tc>
          <w:tcPr>
            <w:tcW w:w="86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color w:val="auto"/>
                <w:kern w:val="0"/>
                <w:sz w:val="21"/>
                <w:szCs w:val="21"/>
                <w:highlight w:val="none"/>
              </w:rPr>
            </w:pPr>
            <w:r>
              <w:rPr>
                <w:color w:val="auto"/>
                <w:kern w:val="0"/>
                <w:sz w:val="21"/>
                <w:szCs w:val="21"/>
                <w:highlight w:val="none"/>
              </w:rPr>
              <w:t>12</w:t>
            </w:r>
          </w:p>
        </w:tc>
        <w:tc>
          <w:tcPr>
            <w:tcW w:w="1943"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color w:val="auto"/>
                <w:kern w:val="0"/>
                <w:sz w:val="21"/>
                <w:szCs w:val="21"/>
                <w:highlight w:val="none"/>
              </w:rPr>
            </w:pPr>
            <w:r>
              <w:rPr>
                <w:color w:val="auto"/>
                <w:kern w:val="0"/>
                <w:sz w:val="21"/>
                <w:szCs w:val="21"/>
                <w:highlight w:val="none"/>
              </w:rPr>
              <w:t>100</w:t>
            </w:r>
          </w:p>
        </w:tc>
        <w:tc>
          <w:tcPr>
            <w:tcW w:w="156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color w:val="auto"/>
                <w:kern w:val="0"/>
                <w:sz w:val="21"/>
                <w:szCs w:val="21"/>
                <w:highlight w:val="none"/>
              </w:rPr>
            </w:pPr>
            <w:r>
              <w:rPr>
                <w:rFonts w:hint="eastAsia"/>
                <w:color w:val="auto"/>
                <w:kern w:val="0"/>
                <w:sz w:val="21"/>
                <w:szCs w:val="21"/>
                <w:highlight w:val="none"/>
              </w:rPr>
              <w:t>0</w:t>
            </w:r>
            <w:r>
              <w:rPr>
                <w:color w:val="auto"/>
                <w:kern w:val="0"/>
                <w:sz w:val="21"/>
                <w:szCs w:val="21"/>
                <w:highlight w:val="none"/>
              </w:rPr>
              <w:t>.12</w:t>
            </w:r>
          </w:p>
        </w:tc>
      </w:tr>
      <w:tr>
        <w:tblPrEx>
          <w:tblCellMar>
            <w:top w:w="0" w:type="dxa"/>
            <w:left w:w="108" w:type="dxa"/>
            <w:bottom w:w="0" w:type="dxa"/>
            <w:right w:w="108" w:type="dxa"/>
          </w:tblCellMar>
        </w:tblPrEx>
        <w:trPr>
          <w:trHeight w:val="300" w:hRule="atLeast"/>
        </w:trPr>
        <w:tc>
          <w:tcPr>
            <w:tcW w:w="3460"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b/>
                <w:bCs/>
                <w:color w:val="auto"/>
                <w:kern w:val="0"/>
                <w:sz w:val="21"/>
                <w:szCs w:val="21"/>
                <w:highlight w:val="none"/>
              </w:rPr>
            </w:pPr>
            <w:r>
              <w:rPr>
                <w:rFonts w:hint="eastAsia" w:ascii="宋体" w:hAnsi="宋体"/>
                <w:b/>
                <w:bCs/>
                <w:color w:val="auto"/>
                <w:kern w:val="0"/>
                <w:sz w:val="21"/>
                <w:szCs w:val="21"/>
                <w:highlight w:val="none"/>
              </w:rPr>
              <w:t>第二部分：环境监测</w:t>
            </w:r>
          </w:p>
        </w:tc>
        <w:tc>
          <w:tcPr>
            <w:tcW w:w="84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b/>
                <w:bCs/>
                <w:color w:val="auto"/>
                <w:kern w:val="0"/>
                <w:sz w:val="21"/>
                <w:szCs w:val="21"/>
                <w:highlight w:val="none"/>
              </w:rPr>
            </w:pPr>
            <w:r>
              <w:rPr>
                <w:b/>
                <w:bCs/>
                <w:color w:val="auto"/>
                <w:kern w:val="0"/>
                <w:sz w:val="21"/>
                <w:szCs w:val="21"/>
                <w:highlight w:val="none"/>
              </w:rPr>
              <w:t>　</w:t>
            </w:r>
          </w:p>
        </w:tc>
        <w:tc>
          <w:tcPr>
            <w:tcW w:w="86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b/>
                <w:bCs/>
                <w:color w:val="auto"/>
                <w:kern w:val="0"/>
                <w:sz w:val="21"/>
                <w:szCs w:val="21"/>
                <w:highlight w:val="none"/>
              </w:rPr>
            </w:pPr>
            <w:r>
              <w:rPr>
                <w:b/>
                <w:bCs/>
                <w:color w:val="auto"/>
                <w:kern w:val="0"/>
                <w:sz w:val="21"/>
                <w:szCs w:val="21"/>
                <w:highlight w:val="none"/>
              </w:rPr>
              <w:t>　</w:t>
            </w:r>
          </w:p>
        </w:tc>
        <w:tc>
          <w:tcPr>
            <w:tcW w:w="1943"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b/>
                <w:bCs/>
                <w:color w:val="auto"/>
                <w:kern w:val="0"/>
                <w:sz w:val="21"/>
                <w:szCs w:val="21"/>
                <w:highlight w:val="none"/>
              </w:rPr>
            </w:pPr>
            <w:r>
              <w:rPr>
                <w:b/>
                <w:bCs/>
                <w:color w:val="auto"/>
                <w:kern w:val="0"/>
                <w:sz w:val="21"/>
                <w:szCs w:val="21"/>
                <w:highlight w:val="none"/>
              </w:rPr>
              <w:t>　</w:t>
            </w:r>
          </w:p>
        </w:tc>
        <w:tc>
          <w:tcPr>
            <w:tcW w:w="156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b/>
                <w:bCs/>
                <w:color w:val="auto"/>
                <w:kern w:val="0"/>
                <w:sz w:val="21"/>
                <w:szCs w:val="21"/>
                <w:highlight w:val="none"/>
              </w:rPr>
            </w:pPr>
            <w:r>
              <w:rPr>
                <w:b/>
                <w:bCs/>
                <w:color w:val="auto"/>
                <w:kern w:val="0"/>
                <w:sz w:val="21"/>
                <w:szCs w:val="21"/>
                <w:highlight w:val="none"/>
              </w:rPr>
              <w:t>1.35</w:t>
            </w:r>
          </w:p>
        </w:tc>
      </w:tr>
      <w:tr>
        <w:tblPrEx>
          <w:tblCellMar>
            <w:top w:w="0" w:type="dxa"/>
            <w:left w:w="108" w:type="dxa"/>
            <w:bottom w:w="0" w:type="dxa"/>
            <w:right w:w="108" w:type="dxa"/>
          </w:tblCellMar>
        </w:tblPrEx>
        <w:trPr>
          <w:trHeight w:val="300" w:hRule="atLeast"/>
        </w:trPr>
        <w:tc>
          <w:tcPr>
            <w:tcW w:w="640" w:type="dxa"/>
            <w:gridSpan w:val="2"/>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ind w:firstLine="0" w:firstLineChars="0"/>
              <w:jc w:val="center"/>
              <w:rPr>
                <w:color w:val="auto"/>
                <w:kern w:val="0"/>
                <w:sz w:val="21"/>
                <w:szCs w:val="21"/>
                <w:highlight w:val="none"/>
              </w:rPr>
            </w:pPr>
            <w:r>
              <w:rPr>
                <w:color w:val="auto"/>
                <w:kern w:val="0"/>
                <w:sz w:val="21"/>
                <w:szCs w:val="21"/>
                <w:highlight w:val="none"/>
              </w:rPr>
              <w:t>1</w:t>
            </w:r>
          </w:p>
        </w:tc>
        <w:tc>
          <w:tcPr>
            <w:tcW w:w="282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color w:val="auto"/>
                <w:kern w:val="0"/>
                <w:sz w:val="21"/>
                <w:szCs w:val="21"/>
                <w:highlight w:val="none"/>
              </w:rPr>
            </w:pPr>
            <w:r>
              <w:rPr>
                <w:rFonts w:hint="eastAsia" w:ascii="宋体" w:hAnsi="宋体"/>
                <w:color w:val="auto"/>
                <w:kern w:val="0"/>
                <w:sz w:val="21"/>
                <w:szCs w:val="21"/>
                <w:highlight w:val="none"/>
              </w:rPr>
              <w:t>水环境监测</w:t>
            </w:r>
          </w:p>
        </w:tc>
        <w:tc>
          <w:tcPr>
            <w:tcW w:w="84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color w:val="auto"/>
                <w:kern w:val="0"/>
                <w:sz w:val="21"/>
                <w:szCs w:val="21"/>
                <w:highlight w:val="none"/>
              </w:rPr>
            </w:pPr>
            <w:r>
              <w:rPr>
                <w:rFonts w:hint="eastAsia" w:ascii="宋体" w:hAnsi="宋体"/>
                <w:color w:val="auto"/>
                <w:kern w:val="0"/>
                <w:sz w:val="21"/>
                <w:szCs w:val="21"/>
                <w:highlight w:val="none"/>
              </w:rPr>
              <w:t>次</w:t>
            </w:r>
          </w:p>
        </w:tc>
        <w:tc>
          <w:tcPr>
            <w:tcW w:w="86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color w:val="auto"/>
                <w:kern w:val="0"/>
                <w:sz w:val="21"/>
                <w:szCs w:val="21"/>
                <w:highlight w:val="none"/>
              </w:rPr>
            </w:pPr>
            <w:r>
              <w:rPr>
                <w:color w:val="auto"/>
                <w:kern w:val="0"/>
                <w:sz w:val="21"/>
                <w:szCs w:val="21"/>
                <w:highlight w:val="none"/>
              </w:rPr>
              <w:t>3</w:t>
            </w:r>
          </w:p>
        </w:tc>
        <w:tc>
          <w:tcPr>
            <w:tcW w:w="1943"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color w:val="auto"/>
                <w:kern w:val="0"/>
                <w:sz w:val="21"/>
                <w:szCs w:val="21"/>
                <w:highlight w:val="none"/>
              </w:rPr>
            </w:pPr>
            <w:r>
              <w:rPr>
                <w:color w:val="auto"/>
                <w:kern w:val="0"/>
                <w:sz w:val="21"/>
                <w:szCs w:val="21"/>
                <w:highlight w:val="none"/>
              </w:rPr>
              <w:t>2000</w:t>
            </w:r>
          </w:p>
        </w:tc>
        <w:tc>
          <w:tcPr>
            <w:tcW w:w="156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color w:val="auto"/>
                <w:kern w:val="0"/>
                <w:sz w:val="21"/>
                <w:szCs w:val="21"/>
                <w:highlight w:val="none"/>
              </w:rPr>
            </w:pPr>
            <w:r>
              <w:rPr>
                <w:color w:val="auto"/>
                <w:kern w:val="0"/>
                <w:sz w:val="21"/>
                <w:szCs w:val="21"/>
                <w:highlight w:val="none"/>
              </w:rPr>
              <w:t>0.6</w:t>
            </w:r>
          </w:p>
        </w:tc>
      </w:tr>
      <w:tr>
        <w:tblPrEx>
          <w:tblCellMar>
            <w:top w:w="0" w:type="dxa"/>
            <w:left w:w="108" w:type="dxa"/>
            <w:bottom w:w="0" w:type="dxa"/>
            <w:right w:w="108" w:type="dxa"/>
          </w:tblCellMar>
        </w:tblPrEx>
        <w:trPr>
          <w:trHeight w:val="300" w:hRule="atLeast"/>
        </w:trPr>
        <w:tc>
          <w:tcPr>
            <w:tcW w:w="640" w:type="dxa"/>
            <w:gridSpan w:val="2"/>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ind w:firstLine="0" w:firstLineChars="0"/>
              <w:jc w:val="center"/>
              <w:rPr>
                <w:color w:val="auto"/>
                <w:kern w:val="0"/>
                <w:sz w:val="21"/>
                <w:szCs w:val="21"/>
                <w:highlight w:val="none"/>
              </w:rPr>
            </w:pPr>
            <w:r>
              <w:rPr>
                <w:color w:val="auto"/>
                <w:kern w:val="0"/>
                <w:sz w:val="21"/>
                <w:szCs w:val="21"/>
                <w:highlight w:val="none"/>
              </w:rPr>
              <w:t>2</w:t>
            </w:r>
          </w:p>
        </w:tc>
        <w:tc>
          <w:tcPr>
            <w:tcW w:w="282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color w:val="auto"/>
                <w:kern w:val="0"/>
                <w:sz w:val="21"/>
                <w:szCs w:val="21"/>
                <w:highlight w:val="none"/>
              </w:rPr>
            </w:pPr>
            <w:r>
              <w:rPr>
                <w:rFonts w:hint="eastAsia" w:ascii="宋体" w:hAnsi="宋体"/>
                <w:color w:val="auto"/>
                <w:kern w:val="0"/>
                <w:sz w:val="21"/>
                <w:szCs w:val="21"/>
                <w:highlight w:val="none"/>
              </w:rPr>
              <w:t>大气监测</w:t>
            </w:r>
          </w:p>
        </w:tc>
        <w:tc>
          <w:tcPr>
            <w:tcW w:w="84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color w:val="auto"/>
                <w:kern w:val="0"/>
                <w:sz w:val="21"/>
                <w:szCs w:val="21"/>
                <w:highlight w:val="none"/>
              </w:rPr>
            </w:pPr>
            <w:r>
              <w:rPr>
                <w:rFonts w:hint="eastAsia" w:ascii="宋体" w:hAnsi="宋体"/>
                <w:color w:val="auto"/>
                <w:kern w:val="0"/>
                <w:sz w:val="21"/>
                <w:szCs w:val="21"/>
                <w:highlight w:val="none"/>
              </w:rPr>
              <w:t>次</w:t>
            </w:r>
          </w:p>
        </w:tc>
        <w:tc>
          <w:tcPr>
            <w:tcW w:w="86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color w:val="auto"/>
                <w:kern w:val="0"/>
                <w:sz w:val="21"/>
                <w:szCs w:val="21"/>
                <w:highlight w:val="none"/>
              </w:rPr>
            </w:pPr>
            <w:r>
              <w:rPr>
                <w:color w:val="auto"/>
                <w:kern w:val="0"/>
                <w:sz w:val="21"/>
                <w:szCs w:val="21"/>
                <w:highlight w:val="none"/>
              </w:rPr>
              <w:t>3</w:t>
            </w:r>
          </w:p>
        </w:tc>
        <w:tc>
          <w:tcPr>
            <w:tcW w:w="1943"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color w:val="auto"/>
                <w:kern w:val="0"/>
                <w:sz w:val="21"/>
                <w:szCs w:val="21"/>
                <w:highlight w:val="none"/>
              </w:rPr>
            </w:pPr>
            <w:r>
              <w:rPr>
                <w:color w:val="auto"/>
                <w:kern w:val="0"/>
                <w:sz w:val="21"/>
                <w:szCs w:val="21"/>
                <w:highlight w:val="none"/>
              </w:rPr>
              <w:t>2000</w:t>
            </w:r>
          </w:p>
        </w:tc>
        <w:tc>
          <w:tcPr>
            <w:tcW w:w="156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color w:val="auto"/>
                <w:kern w:val="0"/>
                <w:sz w:val="21"/>
                <w:szCs w:val="21"/>
                <w:highlight w:val="none"/>
              </w:rPr>
            </w:pPr>
            <w:r>
              <w:rPr>
                <w:color w:val="auto"/>
                <w:kern w:val="0"/>
                <w:sz w:val="21"/>
                <w:szCs w:val="21"/>
                <w:highlight w:val="none"/>
              </w:rPr>
              <w:t>0.6</w:t>
            </w:r>
          </w:p>
        </w:tc>
      </w:tr>
      <w:tr>
        <w:tblPrEx>
          <w:tblCellMar>
            <w:top w:w="0" w:type="dxa"/>
            <w:left w:w="108" w:type="dxa"/>
            <w:bottom w:w="0" w:type="dxa"/>
            <w:right w:w="108" w:type="dxa"/>
          </w:tblCellMar>
        </w:tblPrEx>
        <w:trPr>
          <w:trHeight w:val="300" w:hRule="atLeast"/>
        </w:trPr>
        <w:tc>
          <w:tcPr>
            <w:tcW w:w="640" w:type="dxa"/>
            <w:gridSpan w:val="2"/>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ind w:firstLine="0" w:firstLineChars="0"/>
              <w:jc w:val="center"/>
              <w:rPr>
                <w:color w:val="auto"/>
                <w:kern w:val="0"/>
                <w:sz w:val="21"/>
                <w:szCs w:val="21"/>
                <w:highlight w:val="none"/>
              </w:rPr>
            </w:pPr>
            <w:r>
              <w:rPr>
                <w:color w:val="auto"/>
                <w:kern w:val="0"/>
                <w:sz w:val="21"/>
                <w:szCs w:val="21"/>
                <w:highlight w:val="none"/>
              </w:rPr>
              <w:t>3</w:t>
            </w:r>
          </w:p>
        </w:tc>
        <w:tc>
          <w:tcPr>
            <w:tcW w:w="282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color w:val="auto"/>
                <w:kern w:val="0"/>
                <w:sz w:val="21"/>
                <w:szCs w:val="21"/>
                <w:highlight w:val="none"/>
              </w:rPr>
            </w:pPr>
            <w:r>
              <w:rPr>
                <w:rFonts w:hint="eastAsia" w:ascii="宋体" w:hAnsi="宋体"/>
                <w:color w:val="auto"/>
                <w:kern w:val="0"/>
                <w:sz w:val="21"/>
                <w:szCs w:val="21"/>
                <w:highlight w:val="none"/>
              </w:rPr>
              <w:t>噪声监测</w:t>
            </w:r>
          </w:p>
        </w:tc>
        <w:tc>
          <w:tcPr>
            <w:tcW w:w="84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color w:val="auto"/>
                <w:kern w:val="0"/>
                <w:sz w:val="21"/>
                <w:szCs w:val="21"/>
                <w:highlight w:val="none"/>
              </w:rPr>
            </w:pPr>
            <w:r>
              <w:rPr>
                <w:rFonts w:hint="eastAsia" w:ascii="宋体" w:hAnsi="宋体"/>
                <w:color w:val="auto"/>
                <w:kern w:val="0"/>
                <w:sz w:val="21"/>
                <w:szCs w:val="21"/>
                <w:highlight w:val="none"/>
              </w:rPr>
              <w:t>次</w:t>
            </w:r>
          </w:p>
        </w:tc>
        <w:tc>
          <w:tcPr>
            <w:tcW w:w="86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color w:val="auto"/>
                <w:kern w:val="0"/>
                <w:sz w:val="21"/>
                <w:szCs w:val="21"/>
                <w:highlight w:val="none"/>
              </w:rPr>
            </w:pPr>
            <w:r>
              <w:rPr>
                <w:color w:val="auto"/>
                <w:kern w:val="0"/>
                <w:sz w:val="21"/>
                <w:szCs w:val="21"/>
                <w:highlight w:val="none"/>
              </w:rPr>
              <w:t>3</w:t>
            </w:r>
          </w:p>
        </w:tc>
        <w:tc>
          <w:tcPr>
            <w:tcW w:w="1943" w:type="dxa"/>
            <w:tcBorders>
              <w:top w:val="nil"/>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color w:val="auto"/>
                <w:kern w:val="0"/>
                <w:sz w:val="21"/>
                <w:szCs w:val="21"/>
                <w:highlight w:val="none"/>
              </w:rPr>
            </w:pPr>
            <w:r>
              <w:rPr>
                <w:color w:val="auto"/>
                <w:kern w:val="0"/>
                <w:sz w:val="21"/>
                <w:szCs w:val="21"/>
                <w:highlight w:val="none"/>
              </w:rPr>
              <w:t>500</w:t>
            </w:r>
          </w:p>
        </w:tc>
        <w:tc>
          <w:tcPr>
            <w:tcW w:w="156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color w:val="auto"/>
                <w:kern w:val="0"/>
                <w:sz w:val="21"/>
                <w:szCs w:val="21"/>
                <w:highlight w:val="none"/>
              </w:rPr>
            </w:pPr>
            <w:r>
              <w:rPr>
                <w:color w:val="auto"/>
                <w:kern w:val="0"/>
                <w:sz w:val="21"/>
                <w:szCs w:val="21"/>
                <w:highlight w:val="none"/>
              </w:rPr>
              <w:t>0.15</w:t>
            </w:r>
          </w:p>
        </w:tc>
      </w:tr>
      <w:tr>
        <w:tblPrEx>
          <w:tblCellMar>
            <w:top w:w="0" w:type="dxa"/>
            <w:left w:w="108" w:type="dxa"/>
            <w:bottom w:w="0" w:type="dxa"/>
            <w:right w:w="108" w:type="dxa"/>
          </w:tblCellMar>
        </w:tblPrEx>
        <w:trPr>
          <w:trHeight w:val="270" w:hRule="atLeast"/>
        </w:trPr>
        <w:tc>
          <w:tcPr>
            <w:tcW w:w="3460"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rFonts w:hint="eastAsia"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第一、第二部分合计</w:t>
            </w:r>
          </w:p>
        </w:tc>
        <w:tc>
          <w:tcPr>
            <w:tcW w:w="3643" w:type="dxa"/>
            <w:gridSpan w:val="3"/>
            <w:tcBorders>
              <w:top w:val="single" w:color="auto" w:sz="4" w:space="0"/>
              <w:left w:val="nil"/>
              <w:bottom w:val="single" w:color="auto" w:sz="4" w:space="0"/>
              <w:right w:val="single" w:color="000000" w:sz="4" w:space="0"/>
            </w:tcBorders>
            <w:shd w:val="clear" w:color="auto" w:fill="auto"/>
            <w:noWrap w:val="0"/>
            <w:vAlign w:val="center"/>
          </w:tcPr>
          <w:p>
            <w:pPr>
              <w:widowControl/>
              <w:spacing w:line="240" w:lineRule="auto"/>
              <w:ind w:firstLine="0" w:firstLineChars="0"/>
              <w:jc w:val="center"/>
              <w:rPr>
                <w:b/>
                <w:bCs/>
                <w:color w:val="auto"/>
                <w:kern w:val="0"/>
                <w:sz w:val="21"/>
                <w:szCs w:val="21"/>
                <w:highlight w:val="none"/>
              </w:rPr>
            </w:pPr>
          </w:p>
        </w:tc>
        <w:tc>
          <w:tcPr>
            <w:tcW w:w="1560" w:type="dxa"/>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b/>
                <w:bCs/>
                <w:color w:val="auto"/>
                <w:kern w:val="0"/>
                <w:sz w:val="21"/>
                <w:szCs w:val="21"/>
                <w:highlight w:val="none"/>
              </w:rPr>
            </w:pPr>
            <w:r>
              <w:rPr>
                <w:b/>
                <w:bCs/>
                <w:color w:val="auto"/>
                <w:kern w:val="0"/>
                <w:sz w:val="21"/>
                <w:szCs w:val="21"/>
                <w:highlight w:val="none"/>
              </w:rPr>
              <w:t>10.43</w:t>
            </w:r>
          </w:p>
        </w:tc>
      </w:tr>
      <w:tr>
        <w:tblPrEx>
          <w:tblCellMar>
            <w:top w:w="0" w:type="dxa"/>
            <w:left w:w="108" w:type="dxa"/>
            <w:bottom w:w="0" w:type="dxa"/>
            <w:right w:w="108" w:type="dxa"/>
          </w:tblCellMar>
        </w:tblPrEx>
        <w:trPr>
          <w:trHeight w:val="270" w:hRule="atLeast"/>
        </w:trPr>
        <w:tc>
          <w:tcPr>
            <w:tcW w:w="3460"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第三部分：环境保护独立费用</w:t>
            </w:r>
          </w:p>
        </w:tc>
        <w:tc>
          <w:tcPr>
            <w:tcW w:w="3643" w:type="dxa"/>
            <w:gridSpan w:val="3"/>
            <w:tcBorders>
              <w:top w:val="single" w:color="auto" w:sz="4" w:space="0"/>
              <w:left w:val="nil"/>
              <w:bottom w:val="single" w:color="auto" w:sz="4" w:space="0"/>
              <w:right w:val="single" w:color="000000" w:sz="4" w:space="0"/>
            </w:tcBorders>
            <w:shd w:val="clear" w:color="auto" w:fill="auto"/>
            <w:noWrap w:val="0"/>
            <w:vAlign w:val="center"/>
          </w:tcPr>
          <w:p>
            <w:pPr>
              <w:widowControl/>
              <w:spacing w:line="240" w:lineRule="auto"/>
              <w:ind w:firstLine="0" w:firstLineChars="0"/>
              <w:jc w:val="center"/>
              <w:rPr>
                <w:b/>
                <w:bCs/>
                <w:color w:val="auto"/>
                <w:kern w:val="0"/>
                <w:sz w:val="21"/>
                <w:szCs w:val="21"/>
                <w:highlight w:val="none"/>
              </w:rPr>
            </w:pPr>
            <w:r>
              <w:rPr>
                <w:b/>
                <w:bCs/>
                <w:color w:val="auto"/>
                <w:kern w:val="0"/>
                <w:sz w:val="21"/>
                <w:szCs w:val="21"/>
                <w:highlight w:val="none"/>
              </w:rPr>
              <w:t>　</w:t>
            </w:r>
          </w:p>
        </w:tc>
        <w:tc>
          <w:tcPr>
            <w:tcW w:w="1560" w:type="dxa"/>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b/>
                <w:bCs/>
                <w:color w:val="auto"/>
                <w:kern w:val="0"/>
                <w:sz w:val="21"/>
                <w:szCs w:val="21"/>
                <w:highlight w:val="none"/>
              </w:rPr>
            </w:pPr>
            <w:r>
              <w:rPr>
                <w:b/>
                <w:bCs/>
                <w:color w:val="auto"/>
                <w:kern w:val="0"/>
                <w:sz w:val="21"/>
                <w:szCs w:val="21"/>
                <w:highlight w:val="none"/>
              </w:rPr>
              <w:t>5.8</w:t>
            </w:r>
          </w:p>
        </w:tc>
      </w:tr>
      <w:tr>
        <w:tblPrEx>
          <w:tblCellMar>
            <w:top w:w="0" w:type="dxa"/>
            <w:left w:w="108" w:type="dxa"/>
            <w:bottom w:w="0" w:type="dxa"/>
            <w:right w:w="108" w:type="dxa"/>
          </w:tblCellMar>
        </w:tblPrEx>
        <w:trPr>
          <w:trHeight w:val="270" w:hRule="atLeast"/>
        </w:trPr>
        <w:tc>
          <w:tcPr>
            <w:tcW w:w="640"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一</w:t>
            </w:r>
          </w:p>
        </w:tc>
        <w:tc>
          <w:tcPr>
            <w:tcW w:w="282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建设单位管理费</w:t>
            </w:r>
          </w:p>
        </w:tc>
        <w:tc>
          <w:tcPr>
            <w:tcW w:w="3643" w:type="dxa"/>
            <w:gridSpan w:val="3"/>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按前二部分</w:t>
            </w:r>
            <w:r>
              <w:rPr>
                <w:color w:val="auto"/>
                <w:kern w:val="0"/>
                <w:sz w:val="21"/>
                <w:szCs w:val="21"/>
                <w:highlight w:val="none"/>
              </w:rPr>
              <w:t>3%</w:t>
            </w:r>
            <w:r>
              <w:rPr>
                <w:rFonts w:hint="eastAsia" w:ascii="宋体" w:hAnsi="宋体" w:cs="宋体"/>
                <w:color w:val="auto"/>
                <w:kern w:val="0"/>
                <w:sz w:val="21"/>
                <w:szCs w:val="21"/>
                <w:highlight w:val="none"/>
              </w:rPr>
              <w:t>计</w:t>
            </w:r>
          </w:p>
        </w:tc>
        <w:tc>
          <w:tcPr>
            <w:tcW w:w="156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color w:val="auto"/>
                <w:kern w:val="0"/>
                <w:sz w:val="21"/>
                <w:szCs w:val="21"/>
                <w:highlight w:val="none"/>
              </w:rPr>
            </w:pPr>
            <w:r>
              <w:rPr>
                <w:color w:val="auto"/>
                <w:kern w:val="0"/>
                <w:sz w:val="21"/>
                <w:szCs w:val="21"/>
                <w:highlight w:val="none"/>
              </w:rPr>
              <w:t>0.31</w:t>
            </w:r>
          </w:p>
        </w:tc>
      </w:tr>
      <w:tr>
        <w:tblPrEx>
          <w:tblCellMar>
            <w:top w:w="0" w:type="dxa"/>
            <w:left w:w="108" w:type="dxa"/>
            <w:bottom w:w="0" w:type="dxa"/>
            <w:right w:w="108" w:type="dxa"/>
          </w:tblCellMar>
        </w:tblPrEx>
        <w:trPr>
          <w:trHeight w:val="270" w:hRule="atLeast"/>
        </w:trPr>
        <w:tc>
          <w:tcPr>
            <w:tcW w:w="640"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二</w:t>
            </w:r>
          </w:p>
        </w:tc>
        <w:tc>
          <w:tcPr>
            <w:tcW w:w="282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color w:val="auto"/>
                <w:kern w:val="0"/>
                <w:sz w:val="21"/>
                <w:szCs w:val="21"/>
                <w:highlight w:val="none"/>
              </w:rPr>
            </w:pPr>
            <w:r>
              <w:rPr>
                <w:color w:val="auto"/>
                <w:kern w:val="0"/>
                <w:sz w:val="21"/>
                <w:szCs w:val="21"/>
                <w:highlight w:val="none"/>
              </w:rPr>
              <w:t xml:space="preserve"> </w:t>
            </w:r>
            <w:r>
              <w:rPr>
                <w:rFonts w:hint="eastAsia" w:ascii="宋体" w:hAnsi="宋体"/>
                <w:color w:val="auto"/>
                <w:kern w:val="0"/>
                <w:sz w:val="21"/>
                <w:szCs w:val="21"/>
                <w:highlight w:val="none"/>
              </w:rPr>
              <w:t>招标业务费</w:t>
            </w:r>
          </w:p>
        </w:tc>
        <w:tc>
          <w:tcPr>
            <w:tcW w:w="3643" w:type="dxa"/>
            <w:gridSpan w:val="3"/>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按广东省政府采购中心收费标准计</w:t>
            </w:r>
          </w:p>
        </w:tc>
        <w:tc>
          <w:tcPr>
            <w:tcW w:w="156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color w:val="auto"/>
                <w:kern w:val="0"/>
                <w:sz w:val="21"/>
                <w:szCs w:val="21"/>
                <w:highlight w:val="none"/>
              </w:rPr>
            </w:pPr>
            <w:r>
              <w:rPr>
                <w:color w:val="auto"/>
                <w:kern w:val="0"/>
                <w:sz w:val="21"/>
                <w:szCs w:val="21"/>
                <w:highlight w:val="none"/>
              </w:rPr>
              <w:t>1</w:t>
            </w:r>
          </w:p>
        </w:tc>
      </w:tr>
      <w:tr>
        <w:tblPrEx>
          <w:tblCellMar>
            <w:top w:w="0" w:type="dxa"/>
            <w:left w:w="108" w:type="dxa"/>
            <w:bottom w:w="0" w:type="dxa"/>
            <w:right w:w="108" w:type="dxa"/>
          </w:tblCellMar>
        </w:tblPrEx>
        <w:trPr>
          <w:trHeight w:val="270" w:hRule="atLeast"/>
        </w:trPr>
        <w:tc>
          <w:tcPr>
            <w:tcW w:w="640"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三</w:t>
            </w:r>
          </w:p>
        </w:tc>
        <w:tc>
          <w:tcPr>
            <w:tcW w:w="282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经济技术咨询费</w:t>
            </w:r>
          </w:p>
        </w:tc>
        <w:tc>
          <w:tcPr>
            <w:tcW w:w="3643" w:type="dxa"/>
            <w:gridSpan w:val="3"/>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按前二部分</w:t>
            </w:r>
            <w:r>
              <w:rPr>
                <w:color w:val="auto"/>
                <w:kern w:val="0"/>
                <w:sz w:val="21"/>
                <w:szCs w:val="21"/>
                <w:highlight w:val="none"/>
              </w:rPr>
              <w:t>2%</w:t>
            </w:r>
            <w:r>
              <w:rPr>
                <w:rFonts w:hint="eastAsia" w:ascii="宋体" w:hAnsi="宋体" w:cs="宋体"/>
                <w:color w:val="auto"/>
                <w:kern w:val="0"/>
                <w:sz w:val="21"/>
                <w:szCs w:val="21"/>
                <w:highlight w:val="none"/>
              </w:rPr>
              <w:t>计</w:t>
            </w:r>
          </w:p>
        </w:tc>
        <w:tc>
          <w:tcPr>
            <w:tcW w:w="156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color w:val="auto"/>
                <w:kern w:val="0"/>
                <w:sz w:val="21"/>
                <w:szCs w:val="21"/>
                <w:highlight w:val="none"/>
              </w:rPr>
            </w:pPr>
            <w:r>
              <w:rPr>
                <w:color w:val="auto"/>
                <w:kern w:val="0"/>
                <w:sz w:val="21"/>
                <w:szCs w:val="21"/>
                <w:highlight w:val="none"/>
              </w:rPr>
              <w:t>0.21</w:t>
            </w:r>
          </w:p>
        </w:tc>
      </w:tr>
      <w:tr>
        <w:tblPrEx>
          <w:tblCellMar>
            <w:top w:w="0" w:type="dxa"/>
            <w:left w:w="108" w:type="dxa"/>
            <w:bottom w:w="0" w:type="dxa"/>
            <w:right w:w="108" w:type="dxa"/>
          </w:tblCellMar>
        </w:tblPrEx>
        <w:trPr>
          <w:trHeight w:val="270" w:hRule="atLeast"/>
        </w:trPr>
        <w:tc>
          <w:tcPr>
            <w:tcW w:w="640"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四</w:t>
            </w:r>
          </w:p>
        </w:tc>
        <w:tc>
          <w:tcPr>
            <w:tcW w:w="282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环境工程监理费</w:t>
            </w:r>
          </w:p>
        </w:tc>
        <w:tc>
          <w:tcPr>
            <w:tcW w:w="3643" w:type="dxa"/>
            <w:gridSpan w:val="3"/>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按发改价</w:t>
            </w:r>
            <w:r>
              <w:rPr>
                <w:color w:val="auto"/>
                <w:kern w:val="0"/>
                <w:sz w:val="21"/>
                <w:szCs w:val="21"/>
                <w:highlight w:val="none"/>
              </w:rPr>
              <w:t>[2007]670</w:t>
            </w:r>
            <w:r>
              <w:rPr>
                <w:rFonts w:hint="eastAsia" w:ascii="宋体" w:hAnsi="宋体" w:cs="宋体"/>
                <w:color w:val="auto"/>
                <w:kern w:val="0"/>
                <w:sz w:val="21"/>
                <w:szCs w:val="21"/>
                <w:highlight w:val="none"/>
              </w:rPr>
              <w:t>号计</w:t>
            </w:r>
          </w:p>
        </w:tc>
        <w:tc>
          <w:tcPr>
            <w:tcW w:w="156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color w:val="auto"/>
                <w:kern w:val="0"/>
                <w:sz w:val="21"/>
                <w:szCs w:val="21"/>
                <w:highlight w:val="none"/>
              </w:rPr>
            </w:pPr>
            <w:r>
              <w:rPr>
                <w:color w:val="auto"/>
                <w:kern w:val="0"/>
                <w:sz w:val="21"/>
                <w:szCs w:val="21"/>
                <w:highlight w:val="none"/>
              </w:rPr>
              <w:t>0.83</w:t>
            </w:r>
          </w:p>
        </w:tc>
      </w:tr>
      <w:tr>
        <w:tblPrEx>
          <w:tblCellMar>
            <w:top w:w="0" w:type="dxa"/>
            <w:left w:w="108" w:type="dxa"/>
            <w:bottom w:w="0" w:type="dxa"/>
            <w:right w:w="108" w:type="dxa"/>
          </w:tblCellMar>
        </w:tblPrEx>
        <w:trPr>
          <w:trHeight w:val="270" w:hRule="atLeast"/>
        </w:trPr>
        <w:tc>
          <w:tcPr>
            <w:tcW w:w="640"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五</w:t>
            </w:r>
          </w:p>
        </w:tc>
        <w:tc>
          <w:tcPr>
            <w:tcW w:w="282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科研勘测设计费</w:t>
            </w:r>
          </w:p>
        </w:tc>
        <w:tc>
          <w:tcPr>
            <w:tcW w:w="3643" w:type="dxa"/>
            <w:gridSpan w:val="3"/>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color w:val="auto"/>
                <w:kern w:val="0"/>
                <w:sz w:val="21"/>
                <w:szCs w:val="21"/>
                <w:highlight w:val="none"/>
              </w:rPr>
            </w:pPr>
            <w:r>
              <w:rPr>
                <w:color w:val="auto"/>
                <w:kern w:val="0"/>
                <w:sz w:val="21"/>
                <w:szCs w:val="21"/>
                <w:highlight w:val="none"/>
              </w:rPr>
              <w:t>　</w:t>
            </w:r>
          </w:p>
        </w:tc>
        <w:tc>
          <w:tcPr>
            <w:tcW w:w="156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color w:val="auto"/>
                <w:kern w:val="0"/>
                <w:sz w:val="21"/>
                <w:szCs w:val="21"/>
                <w:highlight w:val="none"/>
              </w:rPr>
            </w:pPr>
            <w:r>
              <w:rPr>
                <w:color w:val="auto"/>
                <w:kern w:val="0"/>
                <w:sz w:val="21"/>
                <w:szCs w:val="21"/>
                <w:highlight w:val="none"/>
              </w:rPr>
              <w:t>1.56</w:t>
            </w:r>
          </w:p>
        </w:tc>
      </w:tr>
      <w:tr>
        <w:tblPrEx>
          <w:tblCellMar>
            <w:top w:w="0" w:type="dxa"/>
            <w:left w:w="108" w:type="dxa"/>
            <w:bottom w:w="0" w:type="dxa"/>
            <w:right w:w="108" w:type="dxa"/>
          </w:tblCellMar>
        </w:tblPrEx>
        <w:trPr>
          <w:trHeight w:val="270" w:hRule="atLeast"/>
        </w:trPr>
        <w:tc>
          <w:tcPr>
            <w:tcW w:w="640"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color w:val="auto"/>
                <w:kern w:val="0"/>
                <w:sz w:val="21"/>
                <w:szCs w:val="21"/>
                <w:highlight w:val="none"/>
              </w:rPr>
            </w:pPr>
            <w:r>
              <w:rPr>
                <w:color w:val="auto"/>
                <w:kern w:val="0"/>
                <w:sz w:val="21"/>
                <w:szCs w:val="21"/>
                <w:highlight w:val="none"/>
              </w:rPr>
              <w:t>1</w:t>
            </w:r>
          </w:p>
        </w:tc>
        <w:tc>
          <w:tcPr>
            <w:tcW w:w="282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环境影响评价费</w:t>
            </w:r>
          </w:p>
        </w:tc>
        <w:tc>
          <w:tcPr>
            <w:tcW w:w="3643" w:type="dxa"/>
            <w:gridSpan w:val="3"/>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按计价格</w:t>
            </w:r>
            <w:r>
              <w:rPr>
                <w:color w:val="auto"/>
                <w:kern w:val="0"/>
                <w:sz w:val="21"/>
                <w:szCs w:val="21"/>
                <w:highlight w:val="none"/>
              </w:rPr>
              <w:t>[2002]125</w:t>
            </w:r>
            <w:r>
              <w:rPr>
                <w:rFonts w:hint="eastAsia" w:ascii="宋体" w:hAnsi="宋体" w:cs="宋体"/>
                <w:color w:val="auto"/>
                <w:kern w:val="0"/>
                <w:sz w:val="21"/>
                <w:szCs w:val="21"/>
                <w:highlight w:val="none"/>
              </w:rPr>
              <w:t>号及</w:t>
            </w:r>
          </w:p>
          <w:p>
            <w:pPr>
              <w:widowControl/>
              <w:spacing w:line="240" w:lineRule="auto"/>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发改价</w:t>
            </w:r>
            <w:r>
              <w:rPr>
                <w:color w:val="auto"/>
                <w:kern w:val="0"/>
                <w:sz w:val="21"/>
                <w:szCs w:val="21"/>
                <w:highlight w:val="none"/>
              </w:rPr>
              <w:t>[2011]534</w:t>
            </w:r>
            <w:r>
              <w:rPr>
                <w:rFonts w:hint="eastAsia" w:ascii="宋体" w:hAnsi="宋体" w:cs="宋体"/>
                <w:color w:val="auto"/>
                <w:kern w:val="0"/>
                <w:sz w:val="21"/>
                <w:szCs w:val="21"/>
                <w:highlight w:val="none"/>
              </w:rPr>
              <w:t>号计</w:t>
            </w:r>
          </w:p>
        </w:tc>
        <w:tc>
          <w:tcPr>
            <w:tcW w:w="156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color w:val="auto"/>
                <w:kern w:val="0"/>
                <w:sz w:val="21"/>
                <w:szCs w:val="21"/>
                <w:highlight w:val="none"/>
              </w:rPr>
            </w:pPr>
            <w:r>
              <w:rPr>
                <w:color w:val="auto"/>
                <w:kern w:val="0"/>
                <w:sz w:val="21"/>
                <w:szCs w:val="21"/>
                <w:highlight w:val="none"/>
              </w:rPr>
              <w:t>1.04</w:t>
            </w:r>
          </w:p>
        </w:tc>
      </w:tr>
      <w:tr>
        <w:tblPrEx>
          <w:tblCellMar>
            <w:top w:w="0" w:type="dxa"/>
            <w:left w:w="108" w:type="dxa"/>
            <w:bottom w:w="0" w:type="dxa"/>
            <w:right w:w="108" w:type="dxa"/>
          </w:tblCellMar>
        </w:tblPrEx>
        <w:trPr>
          <w:trHeight w:val="270" w:hRule="atLeast"/>
        </w:trPr>
        <w:tc>
          <w:tcPr>
            <w:tcW w:w="640"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color w:val="auto"/>
                <w:kern w:val="0"/>
                <w:sz w:val="21"/>
                <w:szCs w:val="21"/>
                <w:highlight w:val="none"/>
              </w:rPr>
            </w:pPr>
            <w:r>
              <w:rPr>
                <w:color w:val="auto"/>
                <w:kern w:val="0"/>
                <w:sz w:val="21"/>
                <w:szCs w:val="21"/>
                <w:highlight w:val="none"/>
              </w:rPr>
              <w:t>2</w:t>
            </w:r>
          </w:p>
        </w:tc>
        <w:tc>
          <w:tcPr>
            <w:tcW w:w="282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勘测设计费</w:t>
            </w:r>
          </w:p>
        </w:tc>
        <w:tc>
          <w:tcPr>
            <w:tcW w:w="3643" w:type="dxa"/>
            <w:gridSpan w:val="3"/>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按计价</w:t>
            </w:r>
            <w:r>
              <w:rPr>
                <w:color w:val="auto"/>
                <w:kern w:val="0"/>
                <w:sz w:val="21"/>
                <w:szCs w:val="21"/>
                <w:highlight w:val="none"/>
              </w:rPr>
              <w:t>[2002]10</w:t>
            </w:r>
            <w:r>
              <w:rPr>
                <w:rFonts w:hint="eastAsia" w:ascii="宋体" w:hAnsi="宋体" w:cs="宋体"/>
                <w:color w:val="auto"/>
                <w:kern w:val="0"/>
                <w:sz w:val="21"/>
                <w:szCs w:val="21"/>
                <w:highlight w:val="none"/>
              </w:rPr>
              <w:t>号计</w:t>
            </w:r>
          </w:p>
        </w:tc>
        <w:tc>
          <w:tcPr>
            <w:tcW w:w="156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color w:val="auto"/>
                <w:kern w:val="0"/>
                <w:sz w:val="21"/>
                <w:szCs w:val="21"/>
                <w:highlight w:val="none"/>
              </w:rPr>
            </w:pPr>
            <w:r>
              <w:rPr>
                <w:color w:val="auto"/>
                <w:kern w:val="0"/>
                <w:sz w:val="21"/>
                <w:szCs w:val="21"/>
                <w:highlight w:val="none"/>
              </w:rPr>
              <w:t>0.83</w:t>
            </w:r>
          </w:p>
        </w:tc>
      </w:tr>
      <w:tr>
        <w:tblPrEx>
          <w:tblCellMar>
            <w:top w:w="0" w:type="dxa"/>
            <w:left w:w="108" w:type="dxa"/>
            <w:bottom w:w="0" w:type="dxa"/>
            <w:right w:w="108" w:type="dxa"/>
          </w:tblCellMar>
        </w:tblPrEx>
        <w:trPr>
          <w:trHeight w:val="270" w:hRule="atLeast"/>
        </w:trPr>
        <w:tc>
          <w:tcPr>
            <w:tcW w:w="3460" w:type="dxa"/>
            <w:gridSpan w:val="3"/>
            <w:tcBorders>
              <w:top w:val="nil"/>
              <w:left w:val="single" w:color="auto" w:sz="4" w:space="0"/>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第一～第三部分合计</w:t>
            </w:r>
          </w:p>
        </w:tc>
        <w:tc>
          <w:tcPr>
            <w:tcW w:w="3643" w:type="dxa"/>
            <w:gridSpan w:val="3"/>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rFonts w:hint="eastAsia" w:ascii="宋体" w:hAnsi="宋体" w:cs="宋体"/>
                <w:color w:val="auto"/>
                <w:kern w:val="0"/>
                <w:sz w:val="21"/>
                <w:szCs w:val="21"/>
                <w:highlight w:val="none"/>
              </w:rPr>
            </w:pPr>
          </w:p>
        </w:tc>
        <w:tc>
          <w:tcPr>
            <w:tcW w:w="1560" w:type="dxa"/>
            <w:tcBorders>
              <w:top w:val="nil"/>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color w:val="auto"/>
                <w:kern w:val="0"/>
                <w:sz w:val="21"/>
                <w:szCs w:val="21"/>
                <w:highlight w:val="none"/>
              </w:rPr>
            </w:pPr>
            <w:r>
              <w:rPr>
                <w:color w:val="auto"/>
                <w:kern w:val="0"/>
                <w:sz w:val="21"/>
                <w:szCs w:val="21"/>
                <w:highlight w:val="none"/>
              </w:rPr>
              <w:t>16.23</w:t>
            </w:r>
          </w:p>
        </w:tc>
      </w:tr>
      <w:tr>
        <w:tblPrEx>
          <w:tblCellMar>
            <w:top w:w="0" w:type="dxa"/>
            <w:left w:w="108" w:type="dxa"/>
            <w:bottom w:w="0" w:type="dxa"/>
            <w:right w:w="108" w:type="dxa"/>
          </w:tblCellMar>
        </w:tblPrEx>
        <w:trPr>
          <w:trHeight w:val="270" w:hRule="atLeast"/>
        </w:trPr>
        <w:tc>
          <w:tcPr>
            <w:tcW w:w="3460"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rFonts w:hint="eastAsia"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第四部分 预备费</w:t>
            </w:r>
          </w:p>
        </w:tc>
        <w:tc>
          <w:tcPr>
            <w:tcW w:w="3643" w:type="dxa"/>
            <w:gridSpan w:val="3"/>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rFonts w:hint="eastAsia" w:ascii="宋体" w:hAnsi="宋体" w:cs="宋体"/>
                <w:b/>
                <w:bCs/>
                <w:color w:val="auto"/>
                <w:kern w:val="0"/>
                <w:sz w:val="21"/>
                <w:szCs w:val="21"/>
                <w:highlight w:val="none"/>
              </w:rPr>
            </w:pPr>
          </w:p>
        </w:tc>
        <w:tc>
          <w:tcPr>
            <w:tcW w:w="1560" w:type="dxa"/>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b/>
                <w:bCs/>
                <w:color w:val="auto"/>
                <w:kern w:val="0"/>
                <w:sz w:val="21"/>
                <w:szCs w:val="21"/>
                <w:highlight w:val="none"/>
              </w:rPr>
            </w:pPr>
            <w:r>
              <w:rPr>
                <w:b/>
                <w:bCs/>
                <w:color w:val="auto"/>
                <w:kern w:val="0"/>
                <w:sz w:val="21"/>
                <w:szCs w:val="21"/>
                <w:highlight w:val="none"/>
              </w:rPr>
              <w:t>0.81</w:t>
            </w:r>
          </w:p>
        </w:tc>
      </w:tr>
      <w:tr>
        <w:tblPrEx>
          <w:tblCellMar>
            <w:top w:w="0" w:type="dxa"/>
            <w:left w:w="108" w:type="dxa"/>
            <w:bottom w:w="0" w:type="dxa"/>
            <w:right w:w="108" w:type="dxa"/>
          </w:tblCellMar>
        </w:tblPrEx>
        <w:trPr>
          <w:trHeight w:val="270" w:hRule="atLeast"/>
        </w:trPr>
        <w:tc>
          <w:tcPr>
            <w:tcW w:w="640"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color w:val="auto"/>
                <w:kern w:val="0"/>
                <w:sz w:val="21"/>
                <w:szCs w:val="21"/>
                <w:highlight w:val="none"/>
              </w:rPr>
            </w:pPr>
            <w:r>
              <w:rPr>
                <w:rFonts w:hint="eastAsia"/>
                <w:color w:val="auto"/>
                <w:kern w:val="0"/>
                <w:sz w:val="21"/>
                <w:szCs w:val="21"/>
                <w:highlight w:val="none"/>
              </w:rPr>
              <w:t>一</w:t>
            </w:r>
          </w:p>
        </w:tc>
        <w:tc>
          <w:tcPr>
            <w:tcW w:w="2820" w:type="dxa"/>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基本预备费</w:t>
            </w:r>
          </w:p>
        </w:tc>
        <w:tc>
          <w:tcPr>
            <w:tcW w:w="3643" w:type="dxa"/>
            <w:gridSpan w:val="3"/>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第一～第三部分之和的</w:t>
            </w:r>
            <w:r>
              <w:rPr>
                <w:color w:val="auto"/>
                <w:kern w:val="0"/>
                <w:sz w:val="21"/>
                <w:szCs w:val="21"/>
                <w:highlight w:val="none"/>
              </w:rPr>
              <w:t>5%</w:t>
            </w:r>
          </w:p>
        </w:tc>
        <w:tc>
          <w:tcPr>
            <w:tcW w:w="1560" w:type="dxa"/>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color w:val="auto"/>
                <w:kern w:val="0"/>
                <w:sz w:val="21"/>
                <w:szCs w:val="21"/>
                <w:highlight w:val="none"/>
              </w:rPr>
            </w:pPr>
            <w:r>
              <w:rPr>
                <w:color w:val="auto"/>
                <w:kern w:val="0"/>
                <w:sz w:val="21"/>
                <w:szCs w:val="21"/>
                <w:highlight w:val="none"/>
              </w:rPr>
              <w:t>0.81</w:t>
            </w:r>
          </w:p>
        </w:tc>
      </w:tr>
      <w:tr>
        <w:tblPrEx>
          <w:tblCellMar>
            <w:top w:w="0" w:type="dxa"/>
            <w:left w:w="108" w:type="dxa"/>
            <w:bottom w:w="0" w:type="dxa"/>
            <w:right w:w="108" w:type="dxa"/>
          </w:tblCellMar>
        </w:tblPrEx>
        <w:trPr>
          <w:trHeight w:val="270" w:hRule="atLeast"/>
        </w:trPr>
        <w:tc>
          <w:tcPr>
            <w:tcW w:w="640"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color w:val="auto"/>
                <w:kern w:val="0"/>
                <w:sz w:val="21"/>
                <w:szCs w:val="21"/>
                <w:highlight w:val="none"/>
              </w:rPr>
            </w:pPr>
            <w:r>
              <w:rPr>
                <w:rFonts w:hint="eastAsia"/>
                <w:color w:val="auto"/>
                <w:kern w:val="0"/>
                <w:sz w:val="21"/>
                <w:szCs w:val="21"/>
                <w:highlight w:val="none"/>
              </w:rPr>
              <w:t>二</w:t>
            </w:r>
          </w:p>
        </w:tc>
        <w:tc>
          <w:tcPr>
            <w:tcW w:w="2820" w:type="dxa"/>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价差预备费</w:t>
            </w:r>
          </w:p>
        </w:tc>
        <w:tc>
          <w:tcPr>
            <w:tcW w:w="3643" w:type="dxa"/>
            <w:gridSpan w:val="3"/>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rFonts w:hint="eastAsia" w:ascii="宋体" w:hAnsi="宋体" w:cs="宋体"/>
                <w:color w:val="auto"/>
                <w:kern w:val="0"/>
                <w:sz w:val="21"/>
                <w:szCs w:val="21"/>
                <w:highlight w:val="none"/>
              </w:rPr>
            </w:pPr>
          </w:p>
        </w:tc>
        <w:tc>
          <w:tcPr>
            <w:tcW w:w="1560" w:type="dxa"/>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color w:val="auto"/>
                <w:kern w:val="0"/>
                <w:sz w:val="21"/>
                <w:szCs w:val="21"/>
                <w:highlight w:val="none"/>
              </w:rPr>
            </w:pPr>
          </w:p>
        </w:tc>
      </w:tr>
      <w:tr>
        <w:tblPrEx>
          <w:tblCellMar>
            <w:top w:w="0" w:type="dxa"/>
            <w:left w:w="108" w:type="dxa"/>
            <w:bottom w:w="0" w:type="dxa"/>
            <w:right w:w="108" w:type="dxa"/>
          </w:tblCellMar>
        </w:tblPrEx>
        <w:trPr>
          <w:trHeight w:val="270" w:hRule="atLeast"/>
        </w:trPr>
        <w:tc>
          <w:tcPr>
            <w:tcW w:w="3460"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环保投资合计</w:t>
            </w:r>
          </w:p>
        </w:tc>
        <w:tc>
          <w:tcPr>
            <w:tcW w:w="3643" w:type="dxa"/>
            <w:gridSpan w:val="3"/>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b/>
                <w:bCs/>
                <w:color w:val="auto"/>
                <w:kern w:val="0"/>
                <w:sz w:val="21"/>
                <w:szCs w:val="21"/>
                <w:highlight w:val="none"/>
              </w:rPr>
            </w:pPr>
            <w:r>
              <w:rPr>
                <w:b/>
                <w:bCs/>
                <w:color w:val="auto"/>
                <w:kern w:val="0"/>
                <w:sz w:val="21"/>
                <w:szCs w:val="21"/>
                <w:highlight w:val="none"/>
              </w:rPr>
              <w:t>　</w:t>
            </w:r>
          </w:p>
        </w:tc>
        <w:tc>
          <w:tcPr>
            <w:tcW w:w="1560" w:type="dxa"/>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auto"/>
              <w:ind w:firstLine="0" w:firstLineChars="0"/>
              <w:jc w:val="center"/>
              <w:rPr>
                <w:b/>
                <w:bCs/>
                <w:color w:val="auto"/>
                <w:kern w:val="0"/>
                <w:sz w:val="21"/>
                <w:szCs w:val="21"/>
                <w:highlight w:val="none"/>
              </w:rPr>
            </w:pPr>
            <w:r>
              <w:rPr>
                <w:b/>
                <w:bCs/>
                <w:color w:val="auto"/>
                <w:kern w:val="0"/>
                <w:sz w:val="21"/>
                <w:szCs w:val="21"/>
                <w:highlight w:val="none"/>
              </w:rPr>
              <w:t>17.04</w:t>
            </w:r>
          </w:p>
        </w:tc>
      </w:tr>
    </w:tbl>
    <w:p>
      <w:pPr>
        <w:pStyle w:val="4"/>
        <w:bidi w:val="0"/>
        <w:rPr>
          <w:rFonts w:hint="eastAsia"/>
          <w:color w:val="auto"/>
          <w:highlight w:val="none"/>
          <w:lang w:val="en-US" w:eastAsia="zh-CN"/>
        </w:rPr>
      </w:pPr>
      <w:bookmarkStart w:id="73" w:name="_Toc2096183884"/>
      <w:r>
        <w:rPr>
          <w:rFonts w:hint="eastAsia"/>
          <w:color w:val="auto"/>
          <w:highlight w:val="none"/>
          <w:lang w:val="en-US" w:eastAsia="zh-CN"/>
        </w:rPr>
        <w:t>1.10水土保持设计</w:t>
      </w:r>
      <w:bookmarkEnd w:id="73"/>
    </w:p>
    <w:p>
      <w:pPr>
        <w:pStyle w:val="5"/>
        <w:bidi w:val="0"/>
        <w:rPr>
          <w:rFonts w:hint="default"/>
          <w:color w:val="auto"/>
          <w:highlight w:val="none"/>
          <w:lang w:val="en-US" w:eastAsia="zh-CN"/>
        </w:rPr>
      </w:pPr>
      <w:r>
        <w:rPr>
          <w:rFonts w:hint="eastAsia"/>
          <w:color w:val="auto"/>
          <w:highlight w:val="none"/>
          <w:lang w:val="en-US" w:eastAsia="zh-CN"/>
        </w:rPr>
        <w:t>1.10.1</w:t>
      </w:r>
      <w:r>
        <w:rPr>
          <w:rFonts w:hint="default"/>
          <w:color w:val="auto"/>
          <w:highlight w:val="none"/>
          <w:lang w:val="en-US" w:eastAsia="zh-CN"/>
        </w:rPr>
        <w:t>本阶段设计成果</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（1）工程占地</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工程总占地面积为0.</w:t>
      </w:r>
      <w:r>
        <w:rPr>
          <w:rFonts w:hint="eastAsia" w:cs="Times New Roman"/>
          <w:color w:val="auto"/>
          <w:highlight w:val="none"/>
          <w:lang w:val="en-US" w:eastAsia="zh-CN"/>
        </w:rPr>
        <w:t>442</w:t>
      </w:r>
      <w:r>
        <w:rPr>
          <w:rFonts w:hint="default" w:ascii="Times New Roman" w:hAnsi="Times New Roman" w:cs="Times New Roman"/>
          <w:color w:val="auto"/>
          <w:highlight w:val="none"/>
          <w:lang w:val="en-US" w:eastAsia="zh-CN"/>
        </w:rPr>
        <w:t>hm</w:t>
      </w:r>
      <w:r>
        <w:rPr>
          <w:rFonts w:hint="default" w:ascii="Times New Roman" w:hAnsi="Times New Roman" w:cs="Times New Roman"/>
          <w:color w:val="auto"/>
          <w:highlight w:val="none"/>
          <w:vertAlign w:val="superscript"/>
          <w:lang w:val="en-US" w:eastAsia="zh-CN"/>
        </w:rPr>
        <w:t>2</w:t>
      </w:r>
      <w:r>
        <w:rPr>
          <w:rFonts w:hint="default" w:ascii="Times New Roman" w:hAnsi="Times New Roman" w:cs="Times New Roman"/>
          <w:color w:val="auto"/>
          <w:highlight w:val="none"/>
          <w:lang w:val="en-US" w:eastAsia="zh-CN"/>
        </w:rPr>
        <w:t>。其中永久占0</w:t>
      </w:r>
      <w:r>
        <w:rPr>
          <w:rFonts w:hint="eastAsia" w:cs="Times New Roman"/>
          <w:color w:val="auto"/>
          <w:highlight w:val="none"/>
          <w:lang w:val="en-US" w:eastAsia="zh-CN"/>
        </w:rPr>
        <w:t>.285</w:t>
      </w:r>
      <w:r>
        <w:rPr>
          <w:rFonts w:hint="default" w:ascii="Times New Roman" w:hAnsi="Times New Roman" w:cs="Times New Roman"/>
          <w:color w:val="auto"/>
          <w:highlight w:val="none"/>
          <w:lang w:val="en-US" w:eastAsia="zh-CN"/>
        </w:rPr>
        <w:t>hm</w:t>
      </w:r>
      <w:r>
        <w:rPr>
          <w:rFonts w:hint="default" w:ascii="Times New Roman" w:hAnsi="Times New Roman" w:cs="Times New Roman"/>
          <w:color w:val="auto"/>
          <w:highlight w:val="none"/>
          <w:vertAlign w:val="superscript"/>
          <w:lang w:val="en-US" w:eastAsia="zh-CN"/>
        </w:rPr>
        <w:t>2</w:t>
      </w:r>
      <w:r>
        <w:rPr>
          <w:rFonts w:hint="default" w:ascii="Times New Roman" w:hAnsi="Times New Roman" w:cs="Times New Roman"/>
          <w:color w:val="auto"/>
          <w:highlight w:val="none"/>
          <w:lang w:val="en-US" w:eastAsia="zh-CN"/>
        </w:rPr>
        <w:t>，</w:t>
      </w:r>
      <w:r>
        <w:rPr>
          <w:rFonts w:hint="default" w:ascii="Times New Roman" w:hAnsi="Times New Roman" w:cs="Times New Roman"/>
          <w:snapToGrid w:val="0"/>
          <w:color w:val="auto"/>
          <w:sz w:val="24"/>
          <w:highlight w:val="none"/>
        </w:rPr>
        <w:t>永久占地主要包括大坝加固、溢洪道改造、村道等建设用地</w:t>
      </w:r>
      <w:r>
        <w:rPr>
          <w:rFonts w:hint="default" w:ascii="Times New Roman" w:hAnsi="Times New Roman" w:cs="Times New Roman"/>
          <w:snapToGrid w:val="0"/>
          <w:color w:val="auto"/>
          <w:sz w:val="24"/>
          <w:highlight w:val="none"/>
          <w:lang w:val="en-US" w:eastAsia="zh-CN"/>
        </w:rPr>
        <w:t>；</w:t>
      </w:r>
      <w:r>
        <w:rPr>
          <w:rFonts w:hint="default" w:ascii="Times New Roman" w:hAnsi="Times New Roman" w:cs="Times New Roman"/>
          <w:color w:val="auto"/>
          <w:highlight w:val="none"/>
          <w:lang w:val="en-US" w:eastAsia="zh-CN"/>
        </w:rPr>
        <w:t>临时用地0.0</w:t>
      </w:r>
      <w:r>
        <w:rPr>
          <w:rFonts w:hint="eastAsia" w:cs="Times New Roman"/>
          <w:color w:val="auto"/>
          <w:highlight w:val="none"/>
          <w:lang w:val="en-US" w:eastAsia="zh-CN"/>
        </w:rPr>
        <w:t>97</w:t>
      </w:r>
      <w:r>
        <w:rPr>
          <w:rFonts w:hint="default" w:ascii="Times New Roman" w:hAnsi="Times New Roman" w:cs="Times New Roman"/>
          <w:color w:val="auto"/>
          <w:highlight w:val="none"/>
          <w:lang w:val="en-US" w:eastAsia="zh-CN"/>
        </w:rPr>
        <w:t>hm</w:t>
      </w:r>
      <w:r>
        <w:rPr>
          <w:rFonts w:hint="default" w:ascii="Times New Roman" w:hAnsi="Times New Roman" w:cs="Times New Roman"/>
          <w:color w:val="auto"/>
          <w:highlight w:val="none"/>
          <w:vertAlign w:val="superscript"/>
          <w:lang w:val="en-US" w:eastAsia="zh-CN"/>
        </w:rPr>
        <w:t>2</w:t>
      </w:r>
      <w:r>
        <w:rPr>
          <w:rFonts w:hint="default" w:ascii="Times New Roman" w:hAnsi="Times New Roman" w:cs="Times New Roman"/>
          <w:color w:val="auto"/>
          <w:highlight w:val="none"/>
          <w:lang w:val="en-US" w:eastAsia="zh-CN"/>
        </w:rPr>
        <w:t>，</w:t>
      </w:r>
      <w:r>
        <w:rPr>
          <w:rFonts w:hint="default" w:ascii="Times New Roman" w:hAnsi="Times New Roman" w:cs="Times New Roman"/>
          <w:color w:val="auto"/>
          <w:sz w:val="24"/>
          <w:highlight w:val="none"/>
        </w:rPr>
        <w:t>临时用地主要为施工营造区</w:t>
      </w:r>
      <w:r>
        <w:rPr>
          <w:rFonts w:hint="default" w:ascii="Times New Roman" w:hAnsi="Times New Roman" w:cs="Times New Roman"/>
          <w:color w:val="auto"/>
          <w:highlight w:val="none"/>
          <w:lang w:val="en-US" w:eastAsia="zh-CN"/>
        </w:rPr>
        <w:t>。</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（2）土石方平衡</w:t>
      </w:r>
    </w:p>
    <w:p>
      <w:pPr>
        <w:bidi w:val="0"/>
        <w:rPr>
          <w:rFonts w:hint="default" w:ascii="Times New Roman" w:hAnsi="Times New Roman" w:eastAsia="宋体" w:cs="Times New Roman"/>
          <w:color w:val="auto"/>
          <w:highlight w:val="none"/>
          <w:lang w:val="en-US" w:eastAsia="zh-CN"/>
        </w:rPr>
      </w:pPr>
      <w:r>
        <w:rPr>
          <w:rFonts w:hint="default" w:ascii="Times New Roman" w:hAnsi="Times New Roman" w:cs="Times New Roman"/>
          <w:color w:val="auto"/>
          <w:highlight w:val="none"/>
        </w:rPr>
        <w:t>经综合统计，</w:t>
      </w:r>
      <w:r>
        <w:rPr>
          <w:rFonts w:hint="eastAsia" w:cs="Times New Roman"/>
          <w:color w:val="auto"/>
          <w:highlight w:val="none"/>
          <w:lang w:eastAsia="zh-CN"/>
        </w:rPr>
        <w:t>本工程表土剥离面积</w:t>
      </w:r>
      <w:r>
        <w:rPr>
          <w:rFonts w:hint="default" w:ascii="Times New Roman" w:hAnsi="Times New Roman" w:cs="Times New Roman"/>
          <w:color w:val="auto"/>
          <w:highlight w:val="none"/>
          <w:lang w:val="en-US" w:eastAsia="zh-CN"/>
        </w:rPr>
        <w:t>0.</w:t>
      </w:r>
      <w:r>
        <w:rPr>
          <w:rFonts w:hint="eastAsia" w:cs="Times New Roman"/>
          <w:color w:val="auto"/>
          <w:highlight w:val="none"/>
          <w:lang w:val="en-US" w:eastAsia="zh-CN"/>
        </w:rPr>
        <w:t>382</w:t>
      </w:r>
      <w:r>
        <w:rPr>
          <w:rFonts w:hint="default" w:ascii="Times New Roman" w:hAnsi="Times New Roman" w:cs="Times New Roman"/>
          <w:color w:val="auto"/>
          <w:highlight w:val="none"/>
          <w:lang w:val="en-US" w:eastAsia="zh-CN"/>
        </w:rPr>
        <w:t>hm</w:t>
      </w:r>
      <w:r>
        <w:rPr>
          <w:rFonts w:hint="default" w:ascii="Times New Roman" w:hAnsi="Times New Roman" w:cs="Times New Roman"/>
          <w:color w:val="auto"/>
          <w:highlight w:val="none"/>
          <w:vertAlign w:val="superscript"/>
          <w:lang w:val="en-US" w:eastAsia="zh-CN"/>
        </w:rPr>
        <w:t>2</w:t>
      </w:r>
      <w:r>
        <w:rPr>
          <w:rFonts w:hint="default" w:ascii="Times New Roman" w:hAnsi="Times New Roman" w:cs="Times New Roman"/>
          <w:color w:val="auto"/>
          <w:highlight w:val="none"/>
          <w:lang w:val="en-US" w:eastAsia="zh-CN"/>
        </w:rPr>
        <w:t>，剥离平均厚度约0.3m，可剥离表土数量约0.</w:t>
      </w:r>
      <w:r>
        <w:rPr>
          <w:rFonts w:hint="eastAsia" w:cs="Times New Roman"/>
          <w:color w:val="auto"/>
          <w:highlight w:val="none"/>
          <w:lang w:val="en-US" w:eastAsia="zh-CN"/>
        </w:rPr>
        <w:t>115</w:t>
      </w:r>
      <w:r>
        <w:rPr>
          <w:rFonts w:hint="default" w:ascii="Times New Roman" w:hAnsi="Times New Roman" w:cs="Times New Roman"/>
          <w:color w:val="auto"/>
          <w:highlight w:val="none"/>
          <w:lang w:val="en-US" w:eastAsia="zh-CN"/>
        </w:rPr>
        <w:t>万m</w:t>
      </w:r>
      <w:r>
        <w:rPr>
          <w:rFonts w:hint="default" w:ascii="Times New Roman" w:hAnsi="Times New Roman" w:cs="Times New Roman"/>
          <w:color w:val="auto"/>
          <w:highlight w:val="none"/>
          <w:vertAlign w:val="superscript"/>
          <w:lang w:val="en-US" w:eastAsia="zh-CN"/>
        </w:rPr>
        <w:t>3</w:t>
      </w:r>
      <w:r>
        <w:rPr>
          <w:rFonts w:hint="default" w:ascii="Times New Roman" w:hAnsi="Times New Roman" w:cs="Times New Roman"/>
          <w:color w:val="auto"/>
          <w:highlight w:val="none"/>
          <w:lang w:val="en-US" w:eastAsia="zh-CN"/>
        </w:rPr>
        <w:t>。</w:t>
      </w:r>
      <w:r>
        <w:rPr>
          <w:rFonts w:hint="eastAsia" w:cs="Times New Roman"/>
          <w:color w:val="auto"/>
          <w:highlight w:val="none"/>
          <w:lang w:val="en-US" w:eastAsia="zh-CN"/>
        </w:rPr>
        <w:t>施工期间表土单独就近存放在主体工程区内，堆土高度0.3m。施工结束后，就近用于表土回填，回填表土</w:t>
      </w:r>
      <w:r>
        <w:rPr>
          <w:rFonts w:hint="default" w:ascii="Times New Roman" w:hAnsi="Times New Roman" w:cs="Times New Roman"/>
          <w:color w:val="auto"/>
          <w:highlight w:val="none"/>
          <w:lang w:val="en-US" w:eastAsia="zh-CN"/>
        </w:rPr>
        <w:t>0.</w:t>
      </w:r>
      <w:r>
        <w:rPr>
          <w:rFonts w:hint="eastAsia" w:cs="Times New Roman"/>
          <w:color w:val="auto"/>
          <w:highlight w:val="none"/>
          <w:lang w:val="en-US" w:eastAsia="zh-CN"/>
        </w:rPr>
        <w:t>115</w:t>
      </w:r>
      <w:r>
        <w:rPr>
          <w:rFonts w:hint="default" w:ascii="Times New Roman" w:hAnsi="Times New Roman" w:cs="Times New Roman"/>
          <w:color w:val="auto"/>
          <w:highlight w:val="none"/>
          <w:lang w:val="en-US" w:eastAsia="zh-CN"/>
        </w:rPr>
        <w:t>万m</w:t>
      </w:r>
      <w:r>
        <w:rPr>
          <w:rFonts w:hint="default" w:ascii="Times New Roman" w:hAnsi="Times New Roman" w:cs="Times New Roman"/>
          <w:color w:val="auto"/>
          <w:highlight w:val="none"/>
          <w:vertAlign w:val="superscript"/>
          <w:lang w:val="en-US" w:eastAsia="zh-CN"/>
        </w:rPr>
        <w:t>3</w:t>
      </w:r>
      <w:r>
        <w:rPr>
          <w:rFonts w:hint="default" w:ascii="Times New Roman" w:hAnsi="Times New Roman" w:cs="Times New Roman"/>
          <w:color w:val="auto"/>
          <w:highlight w:val="none"/>
          <w:lang w:val="en-US" w:eastAsia="zh-CN"/>
        </w:rPr>
        <w:t>。</w:t>
      </w:r>
    </w:p>
    <w:p>
      <w:pPr>
        <w:bidi w:val="0"/>
        <w:spacing w:line="240" w:lineRule="auto"/>
        <w:rPr>
          <w:rFonts w:hint="default" w:ascii="Times New Roman" w:hAnsi="Times New Roman" w:cs="Times New Roman"/>
          <w:color w:val="auto"/>
          <w:highlight w:val="none"/>
          <w:lang w:val="en-US" w:eastAsia="zh-CN"/>
        </w:rPr>
      </w:pPr>
      <w:r>
        <w:rPr>
          <w:rFonts w:hint="eastAsia" w:cs="Times New Roman"/>
          <w:color w:val="auto"/>
          <w:highlight w:val="none"/>
          <w:lang w:val="en-US" w:eastAsia="zh-CN"/>
        </w:rPr>
        <w:t>本工程大坝加固和加固上坝公路</w:t>
      </w:r>
      <w:r>
        <w:rPr>
          <w:rFonts w:hint="default" w:ascii="Times New Roman" w:hAnsi="Times New Roman" w:cs="Times New Roman"/>
          <w:color w:val="auto"/>
          <w:highlight w:val="none"/>
        </w:rPr>
        <w:t>开挖</w:t>
      </w:r>
      <w:r>
        <w:rPr>
          <w:rFonts w:hint="default" w:ascii="Times New Roman" w:hAnsi="Times New Roman" w:cs="Times New Roman"/>
          <w:color w:val="auto"/>
          <w:highlight w:val="none"/>
          <w:lang w:val="en-US" w:eastAsia="zh-CN"/>
        </w:rPr>
        <w:t>土方</w:t>
      </w:r>
      <w:r>
        <w:rPr>
          <w:rFonts w:hint="default" w:ascii="Times New Roman" w:hAnsi="Times New Roman" w:cs="Times New Roman"/>
          <w:color w:val="auto"/>
          <w:highlight w:val="none"/>
        </w:rPr>
        <w:t>量为1.</w:t>
      </w:r>
      <w:r>
        <w:rPr>
          <w:rFonts w:hint="default" w:ascii="Times New Roman" w:hAnsi="Times New Roman" w:cs="Times New Roman"/>
          <w:color w:val="auto"/>
          <w:highlight w:val="none"/>
          <w:lang w:val="en-US" w:eastAsia="zh-CN"/>
        </w:rPr>
        <w:t>33万</w:t>
      </w:r>
      <w:r>
        <w:rPr>
          <w:rFonts w:hint="default" w:ascii="Times New Roman" w:hAnsi="Times New Roman" w:cs="Times New Roman"/>
          <w:color w:val="auto"/>
          <w:highlight w:val="none"/>
        </w:rPr>
        <w:t xml:space="preserve">m³，回填利用土方量为 </w:t>
      </w:r>
      <w:r>
        <w:rPr>
          <w:rFonts w:hint="default" w:ascii="Times New Roman" w:hAnsi="Times New Roman" w:cs="Times New Roman"/>
          <w:color w:val="auto"/>
          <w:highlight w:val="none"/>
          <w:lang w:val="en-US" w:eastAsia="zh-CN"/>
        </w:rPr>
        <w:t>0.63万</w:t>
      </w:r>
      <w:r>
        <w:rPr>
          <w:rFonts w:hint="default" w:ascii="Times New Roman" w:hAnsi="Times New Roman" w:cs="Times New Roman"/>
          <w:color w:val="auto"/>
          <w:highlight w:val="none"/>
        </w:rPr>
        <w:t>m³</w:t>
      </w:r>
      <w:r>
        <w:rPr>
          <w:rFonts w:hint="default" w:ascii="Times New Roman" w:hAnsi="Times New Roman" w:cs="Times New Roman"/>
          <w:color w:val="auto"/>
          <w:highlight w:val="none"/>
          <w:lang w:eastAsia="zh-CN"/>
        </w:rPr>
        <w:t>，</w:t>
      </w:r>
      <w:r>
        <w:rPr>
          <w:rFonts w:hint="default" w:ascii="Times New Roman" w:hAnsi="Times New Roman" w:cs="Times New Roman"/>
          <w:color w:val="auto"/>
          <w:highlight w:val="none"/>
        </w:rPr>
        <w:t>旧砌石、砼拆除量0.</w:t>
      </w:r>
      <w:r>
        <w:rPr>
          <w:rFonts w:hint="default" w:ascii="Times New Roman" w:hAnsi="Times New Roman" w:cs="Times New Roman"/>
          <w:color w:val="auto"/>
          <w:highlight w:val="none"/>
          <w:lang w:val="en-US" w:eastAsia="zh-CN"/>
        </w:rPr>
        <w:t>52万</w:t>
      </w:r>
      <w:r>
        <w:rPr>
          <w:rFonts w:hint="default" w:ascii="Times New Roman" w:hAnsi="Times New Roman" w:cs="Times New Roman"/>
          <w:color w:val="auto"/>
          <w:highlight w:val="none"/>
        </w:rPr>
        <w:t>m³，</w:t>
      </w:r>
      <w:r>
        <w:rPr>
          <w:rFonts w:hint="eastAsia" w:cs="Times New Roman"/>
          <w:color w:val="auto"/>
          <w:highlight w:val="none"/>
          <w:lang w:eastAsia="zh-CN"/>
        </w:rPr>
        <w:t>余方</w:t>
      </w:r>
      <w:r>
        <w:rPr>
          <w:rFonts w:hint="default" w:ascii="Times New Roman" w:hAnsi="Times New Roman" w:cs="Times New Roman"/>
          <w:color w:val="auto"/>
          <w:highlight w:val="none"/>
        </w:rPr>
        <w:t>总量为1.</w:t>
      </w:r>
      <w:r>
        <w:rPr>
          <w:rFonts w:hint="eastAsia" w:cs="Times New Roman"/>
          <w:color w:val="auto"/>
          <w:highlight w:val="none"/>
          <w:lang w:val="en-US" w:eastAsia="zh-CN"/>
        </w:rPr>
        <w:t>22</w:t>
      </w:r>
      <w:r>
        <w:rPr>
          <w:rFonts w:hint="default" w:ascii="Times New Roman" w:hAnsi="Times New Roman" w:cs="Times New Roman"/>
          <w:color w:val="auto"/>
          <w:highlight w:val="none"/>
          <w:lang w:val="en-US" w:eastAsia="zh-CN"/>
        </w:rPr>
        <w:t>万</w:t>
      </w:r>
      <w:r>
        <w:rPr>
          <w:rFonts w:hint="default" w:ascii="Times New Roman" w:hAnsi="Times New Roman" w:cs="Times New Roman"/>
          <w:color w:val="auto"/>
          <w:highlight w:val="none"/>
        </w:rPr>
        <w:t>m³。</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（3）</w:t>
      </w:r>
      <w:r>
        <w:rPr>
          <w:rFonts w:hint="eastAsia" w:cs="Times New Roman"/>
          <w:color w:val="auto"/>
          <w:highlight w:val="none"/>
          <w:lang w:val="en-US" w:eastAsia="zh-CN"/>
        </w:rPr>
        <w:t>余方</w:t>
      </w:r>
      <w:r>
        <w:rPr>
          <w:rFonts w:hint="default" w:ascii="Times New Roman" w:hAnsi="Times New Roman" w:cs="Times New Roman"/>
          <w:color w:val="auto"/>
          <w:highlight w:val="none"/>
          <w:lang w:val="en-US" w:eastAsia="zh-CN"/>
        </w:rPr>
        <w:t>量</w:t>
      </w:r>
    </w:p>
    <w:p>
      <w:pPr>
        <w:bidi w:val="0"/>
        <w:rPr>
          <w:rFonts w:hint="default" w:ascii="Times New Roman" w:hAnsi="Times New Roman" w:cs="Times New Roman"/>
          <w:color w:val="auto"/>
          <w:highlight w:val="none"/>
          <w:lang w:eastAsia="zh-CN"/>
        </w:rPr>
      </w:pPr>
      <w:r>
        <w:rPr>
          <w:rFonts w:hint="default" w:ascii="Times New Roman" w:hAnsi="Times New Roman" w:cs="Times New Roman"/>
          <w:color w:val="auto"/>
          <w:highlight w:val="none"/>
          <w:lang w:val="en-US" w:eastAsia="zh-CN"/>
        </w:rPr>
        <w:t>经综合统计，本工程</w:t>
      </w:r>
      <w:r>
        <w:rPr>
          <w:rFonts w:hint="eastAsia" w:cs="Times New Roman"/>
          <w:color w:val="auto"/>
          <w:highlight w:val="none"/>
          <w:lang w:val="en-US" w:eastAsia="zh-CN"/>
        </w:rPr>
        <w:t>余方</w:t>
      </w:r>
      <w:r>
        <w:rPr>
          <w:rFonts w:hint="default" w:ascii="Times New Roman" w:hAnsi="Times New Roman" w:cs="Times New Roman"/>
          <w:color w:val="auto"/>
          <w:highlight w:val="none"/>
          <w:lang w:val="en-US" w:eastAsia="zh-CN"/>
        </w:rPr>
        <w:t>总量为1.</w:t>
      </w:r>
      <w:r>
        <w:rPr>
          <w:rFonts w:hint="eastAsia" w:cs="Times New Roman"/>
          <w:color w:val="auto"/>
          <w:highlight w:val="none"/>
          <w:lang w:val="en-US" w:eastAsia="zh-CN"/>
        </w:rPr>
        <w:t>22</w:t>
      </w:r>
      <w:r>
        <w:rPr>
          <w:rFonts w:hint="default" w:ascii="Times New Roman" w:hAnsi="Times New Roman" w:cs="Times New Roman"/>
          <w:color w:val="auto"/>
          <w:highlight w:val="none"/>
          <w:lang w:val="en-US" w:eastAsia="zh-CN"/>
        </w:rPr>
        <w:t>万m³，主要为工程开挖土方</w:t>
      </w:r>
      <w:r>
        <w:rPr>
          <w:rFonts w:hint="eastAsia" w:cs="Times New Roman"/>
          <w:color w:val="auto"/>
          <w:highlight w:val="none"/>
          <w:lang w:val="en-US" w:eastAsia="zh-CN"/>
        </w:rPr>
        <w:t>及</w:t>
      </w:r>
      <w:r>
        <w:rPr>
          <w:rFonts w:hint="default" w:ascii="Times New Roman" w:hAnsi="Times New Roman" w:cs="Times New Roman"/>
          <w:color w:val="auto"/>
          <w:highlight w:val="none"/>
        </w:rPr>
        <w:t>拆除</w:t>
      </w:r>
      <w:r>
        <w:rPr>
          <w:rFonts w:hint="default" w:ascii="Times New Roman" w:hAnsi="Times New Roman" w:cs="Times New Roman"/>
          <w:color w:val="auto"/>
          <w:highlight w:val="none"/>
          <w:lang w:val="en-US" w:eastAsia="zh-CN"/>
        </w:rPr>
        <w:t>的</w:t>
      </w:r>
      <w:r>
        <w:rPr>
          <w:rFonts w:hint="default" w:ascii="Times New Roman" w:hAnsi="Times New Roman" w:cs="Times New Roman"/>
          <w:color w:val="auto"/>
          <w:highlight w:val="none"/>
        </w:rPr>
        <w:t>旧砌石、砼</w:t>
      </w:r>
      <w:r>
        <w:rPr>
          <w:rFonts w:hint="default" w:ascii="Times New Roman" w:hAnsi="Times New Roman" w:cs="Times New Roman"/>
          <w:color w:val="auto"/>
          <w:highlight w:val="none"/>
          <w:lang w:val="en-US" w:eastAsia="zh-CN"/>
        </w:rPr>
        <w:t>。经调查，</w:t>
      </w:r>
      <w:r>
        <w:rPr>
          <w:rFonts w:hint="default" w:ascii="Times New Roman" w:hAnsi="Times New Roman" w:cs="Times New Roman"/>
          <w:color w:val="auto"/>
          <w:highlight w:val="none"/>
        </w:rPr>
        <w:t>工程</w:t>
      </w:r>
      <w:r>
        <w:rPr>
          <w:rFonts w:hint="eastAsia" w:cs="Times New Roman"/>
          <w:color w:val="auto"/>
          <w:highlight w:val="none"/>
          <w:lang w:eastAsia="zh-CN"/>
        </w:rPr>
        <w:t>余方可</w:t>
      </w:r>
      <w:r>
        <w:rPr>
          <w:rFonts w:hint="default" w:ascii="Times New Roman" w:hAnsi="Times New Roman" w:cs="Times New Roman"/>
          <w:color w:val="auto"/>
          <w:highlight w:val="none"/>
          <w:lang w:val="en-US" w:eastAsia="zh-CN"/>
        </w:rPr>
        <w:t>运至城镇建设回填工程</w:t>
      </w:r>
      <w:r>
        <w:rPr>
          <w:rFonts w:hint="eastAsia" w:cs="Times New Roman"/>
          <w:color w:val="auto"/>
          <w:highlight w:val="none"/>
          <w:lang w:val="en-US" w:eastAsia="zh-CN"/>
        </w:rPr>
        <w:t>利用</w:t>
      </w:r>
      <w:r>
        <w:rPr>
          <w:rFonts w:hint="default" w:ascii="Times New Roman" w:hAnsi="Times New Roman" w:cs="Times New Roman"/>
          <w:color w:val="auto"/>
          <w:highlight w:val="none"/>
        </w:rPr>
        <w:t>，运距约为10km</w:t>
      </w:r>
      <w:r>
        <w:rPr>
          <w:rFonts w:hint="default" w:ascii="Times New Roman" w:hAnsi="Times New Roman" w:cs="Times New Roman"/>
          <w:color w:val="auto"/>
          <w:highlight w:val="none"/>
          <w:lang w:eastAsia="zh-CN"/>
        </w:rPr>
        <w:t>。</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本工程不设弃渣场。</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（4）表土保护</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工程占地类型为林地、空闲地，林地分布有表层熟土，在施工前需考虑表土剥离。结合地形现状估算可剥离表土面积0.</w:t>
      </w:r>
      <w:r>
        <w:rPr>
          <w:rFonts w:hint="eastAsia" w:cs="Times New Roman"/>
          <w:color w:val="auto"/>
          <w:highlight w:val="none"/>
          <w:lang w:val="en-US" w:eastAsia="zh-CN"/>
        </w:rPr>
        <w:t>382</w:t>
      </w:r>
      <w:r>
        <w:rPr>
          <w:rFonts w:hint="default" w:ascii="Times New Roman" w:hAnsi="Times New Roman" w:cs="Times New Roman"/>
          <w:color w:val="auto"/>
          <w:highlight w:val="none"/>
          <w:lang w:val="en-US" w:eastAsia="zh-CN"/>
        </w:rPr>
        <w:t>hm</w:t>
      </w:r>
      <w:r>
        <w:rPr>
          <w:rFonts w:hint="default" w:ascii="Times New Roman" w:hAnsi="Times New Roman" w:cs="Times New Roman"/>
          <w:color w:val="auto"/>
          <w:highlight w:val="none"/>
          <w:vertAlign w:val="superscript"/>
          <w:lang w:val="en-US" w:eastAsia="zh-CN"/>
        </w:rPr>
        <w:t>2</w:t>
      </w:r>
      <w:r>
        <w:rPr>
          <w:rFonts w:hint="default" w:ascii="Times New Roman" w:hAnsi="Times New Roman" w:cs="Times New Roman"/>
          <w:color w:val="auto"/>
          <w:highlight w:val="none"/>
          <w:lang w:val="en-US" w:eastAsia="zh-CN"/>
        </w:rPr>
        <w:t>，剥离平均厚度约0.3m，可剥离表土数量约0.</w:t>
      </w:r>
      <w:r>
        <w:rPr>
          <w:rFonts w:hint="eastAsia" w:cs="Times New Roman"/>
          <w:color w:val="auto"/>
          <w:highlight w:val="none"/>
          <w:lang w:val="en-US" w:eastAsia="zh-CN"/>
        </w:rPr>
        <w:t>115</w:t>
      </w:r>
      <w:r>
        <w:rPr>
          <w:rFonts w:hint="default" w:ascii="Times New Roman" w:hAnsi="Times New Roman" w:cs="Times New Roman"/>
          <w:color w:val="auto"/>
          <w:highlight w:val="none"/>
          <w:lang w:val="en-US" w:eastAsia="zh-CN"/>
        </w:rPr>
        <w:t>万m</w:t>
      </w:r>
      <w:r>
        <w:rPr>
          <w:rFonts w:hint="default" w:ascii="Times New Roman" w:hAnsi="Times New Roman" w:cs="Times New Roman"/>
          <w:color w:val="auto"/>
          <w:highlight w:val="none"/>
          <w:vertAlign w:val="superscript"/>
          <w:lang w:val="en-US" w:eastAsia="zh-CN"/>
        </w:rPr>
        <w:t>3</w:t>
      </w:r>
      <w:r>
        <w:rPr>
          <w:rFonts w:hint="default" w:ascii="Times New Roman" w:hAnsi="Times New Roman" w:cs="Times New Roman"/>
          <w:color w:val="auto"/>
          <w:highlight w:val="none"/>
          <w:lang w:val="en-US" w:eastAsia="zh-CN"/>
        </w:rPr>
        <w:t>。</w:t>
      </w:r>
      <w:r>
        <w:rPr>
          <w:rFonts w:hint="eastAsia" w:cs="Times New Roman"/>
          <w:color w:val="auto"/>
          <w:highlight w:val="none"/>
          <w:lang w:val="en-US" w:eastAsia="zh-CN"/>
        </w:rPr>
        <w:t>剥离的表土单独就近存放在工程区内，堆高0.3m，堆放边坡设置彩条布苫盖，工程结束后，就近用于表土回填</w:t>
      </w:r>
      <w:r>
        <w:rPr>
          <w:rFonts w:hint="default" w:ascii="Times New Roman" w:hAnsi="Times New Roman" w:cs="Times New Roman"/>
          <w:color w:val="auto"/>
          <w:highlight w:val="none"/>
          <w:lang w:val="en-US" w:eastAsia="zh-CN"/>
        </w:rPr>
        <w:t>。</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（5）水土流失防治责任范围及防治分区</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工程水土流失防治责任范围面积为0.</w:t>
      </w:r>
      <w:r>
        <w:rPr>
          <w:rFonts w:hint="eastAsia" w:cs="Times New Roman"/>
          <w:color w:val="auto"/>
          <w:highlight w:val="none"/>
          <w:lang w:val="en-US" w:eastAsia="zh-CN"/>
        </w:rPr>
        <w:t>442</w:t>
      </w:r>
      <w:r>
        <w:rPr>
          <w:rFonts w:hint="default" w:ascii="Times New Roman" w:hAnsi="Times New Roman" w:cs="Times New Roman"/>
          <w:color w:val="auto"/>
          <w:highlight w:val="none"/>
          <w:lang w:val="en-US" w:eastAsia="zh-CN"/>
        </w:rPr>
        <w:t>hm</w:t>
      </w:r>
      <w:r>
        <w:rPr>
          <w:rFonts w:hint="default" w:ascii="Times New Roman" w:hAnsi="Times New Roman" w:cs="Times New Roman"/>
          <w:color w:val="auto"/>
          <w:highlight w:val="none"/>
          <w:vertAlign w:val="superscript"/>
          <w:lang w:val="en-US" w:eastAsia="zh-CN"/>
        </w:rPr>
        <w:t>2</w:t>
      </w:r>
      <w:r>
        <w:rPr>
          <w:rFonts w:hint="default" w:ascii="Times New Roman" w:hAnsi="Times New Roman" w:cs="Times New Roman"/>
          <w:color w:val="auto"/>
          <w:highlight w:val="none"/>
          <w:lang w:val="en-US" w:eastAsia="zh-CN"/>
        </w:rPr>
        <w:t>，包括永久占地面积0.</w:t>
      </w:r>
      <w:r>
        <w:rPr>
          <w:rFonts w:hint="eastAsia" w:cs="Times New Roman"/>
          <w:color w:val="auto"/>
          <w:highlight w:val="none"/>
          <w:lang w:val="en-US" w:eastAsia="zh-CN"/>
        </w:rPr>
        <w:t>285</w:t>
      </w:r>
      <w:r>
        <w:rPr>
          <w:rFonts w:hint="default" w:ascii="Times New Roman" w:hAnsi="Times New Roman" w:cs="Times New Roman"/>
          <w:color w:val="auto"/>
          <w:highlight w:val="none"/>
          <w:lang w:val="en-US" w:eastAsia="zh-CN"/>
        </w:rPr>
        <w:t>hm</w:t>
      </w:r>
      <w:r>
        <w:rPr>
          <w:rFonts w:hint="default" w:ascii="Times New Roman" w:hAnsi="Times New Roman" w:cs="Times New Roman"/>
          <w:color w:val="auto"/>
          <w:highlight w:val="none"/>
          <w:vertAlign w:val="superscript"/>
          <w:lang w:val="en-US" w:eastAsia="zh-CN"/>
        </w:rPr>
        <w:t>2</w:t>
      </w:r>
      <w:r>
        <w:rPr>
          <w:rFonts w:hint="default" w:ascii="Times New Roman" w:hAnsi="Times New Roman" w:cs="Times New Roman"/>
          <w:color w:val="auto"/>
          <w:highlight w:val="none"/>
          <w:lang w:val="en-US" w:eastAsia="zh-CN"/>
        </w:rPr>
        <w:t>、临时占地面积0.</w:t>
      </w:r>
      <w:r>
        <w:rPr>
          <w:rFonts w:hint="eastAsia" w:cs="Times New Roman"/>
          <w:color w:val="auto"/>
          <w:highlight w:val="none"/>
          <w:lang w:val="en-US" w:eastAsia="zh-CN"/>
        </w:rPr>
        <w:t>157</w:t>
      </w:r>
      <w:r>
        <w:rPr>
          <w:rFonts w:hint="default" w:ascii="Times New Roman" w:hAnsi="Times New Roman" w:cs="Times New Roman"/>
          <w:color w:val="auto"/>
          <w:highlight w:val="none"/>
          <w:lang w:val="en-US" w:eastAsia="zh-CN"/>
        </w:rPr>
        <w:t>hm</w:t>
      </w:r>
      <w:r>
        <w:rPr>
          <w:rFonts w:hint="default" w:ascii="Times New Roman" w:hAnsi="Times New Roman" w:cs="Times New Roman"/>
          <w:color w:val="auto"/>
          <w:highlight w:val="none"/>
          <w:vertAlign w:val="superscript"/>
          <w:lang w:val="en-US" w:eastAsia="zh-CN"/>
        </w:rPr>
        <w:t>2</w:t>
      </w:r>
      <w:r>
        <w:rPr>
          <w:rFonts w:hint="default" w:ascii="Times New Roman" w:hAnsi="Times New Roman" w:cs="Times New Roman"/>
          <w:color w:val="auto"/>
          <w:highlight w:val="none"/>
          <w:lang w:val="en-US" w:eastAsia="zh-CN"/>
        </w:rPr>
        <w:t>。根据水土流失防治分区原则，工程水土流失防治分区划分为主体工程区、施工营造区等2个</w:t>
      </w:r>
      <w:r>
        <w:rPr>
          <w:rFonts w:hint="eastAsia" w:cs="Times New Roman"/>
          <w:color w:val="auto"/>
          <w:highlight w:val="none"/>
          <w:lang w:val="en-US" w:eastAsia="zh-CN"/>
        </w:rPr>
        <w:t>一级</w:t>
      </w:r>
      <w:r>
        <w:rPr>
          <w:rFonts w:hint="default" w:ascii="Times New Roman" w:hAnsi="Times New Roman" w:cs="Times New Roman"/>
          <w:color w:val="auto"/>
          <w:highlight w:val="none"/>
          <w:lang w:val="en-US" w:eastAsia="zh-CN"/>
        </w:rPr>
        <w:t>防治分区</w:t>
      </w:r>
      <w:r>
        <w:rPr>
          <w:rFonts w:hint="eastAsia" w:cs="Times New Roman"/>
          <w:color w:val="auto"/>
          <w:highlight w:val="none"/>
          <w:lang w:val="en-US" w:eastAsia="zh-CN"/>
        </w:rPr>
        <w:t>，其中主体工程区分为除险加固工程工程区和进村公路工程区等两个二级分区。</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（6）水土保持措施布设成果</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本方案新增水土保持措施包括工程措施、植物措施及临时措施。其中，工程措施包括表土剥离及回填；植物措施包括全面整地、撒播草籽；临时措施包括开挖临时排水沟、临时沉沙池、彩条布苫盖。本项目新增水土保持防治措施的总工程量如下：</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①工程措施：表土剥离数量0.146hm</w:t>
      </w:r>
      <w:r>
        <w:rPr>
          <w:rFonts w:hint="default" w:ascii="Times New Roman" w:hAnsi="Times New Roman" w:cs="Times New Roman"/>
          <w:color w:val="auto"/>
          <w:highlight w:val="none"/>
          <w:vertAlign w:val="superscript"/>
          <w:lang w:val="en-US" w:eastAsia="zh-CN"/>
        </w:rPr>
        <w:t>2</w:t>
      </w:r>
      <w:r>
        <w:rPr>
          <w:rFonts w:hint="default" w:ascii="Times New Roman" w:hAnsi="Times New Roman" w:cs="Times New Roman"/>
          <w:color w:val="auto"/>
          <w:highlight w:val="none"/>
          <w:lang w:val="en-US" w:eastAsia="zh-CN"/>
        </w:rPr>
        <w:t>，表土回填数量0.043万m</w:t>
      </w:r>
      <w:r>
        <w:rPr>
          <w:rFonts w:hint="default" w:ascii="Times New Roman" w:hAnsi="Times New Roman" w:cs="Times New Roman"/>
          <w:color w:val="auto"/>
          <w:highlight w:val="none"/>
          <w:vertAlign w:val="superscript"/>
          <w:lang w:val="en-US" w:eastAsia="zh-CN"/>
        </w:rPr>
        <w:t>3</w:t>
      </w:r>
      <w:r>
        <w:rPr>
          <w:rFonts w:hint="default" w:ascii="Times New Roman" w:hAnsi="Times New Roman" w:cs="Times New Roman"/>
          <w:color w:val="auto"/>
          <w:highlight w:val="none"/>
          <w:lang w:val="en-US" w:eastAsia="zh-CN"/>
        </w:rPr>
        <w:t>；</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②植物措施：全面整地0.03hm</w:t>
      </w:r>
      <w:r>
        <w:rPr>
          <w:rFonts w:hint="default" w:ascii="Times New Roman" w:hAnsi="Times New Roman" w:cs="Times New Roman"/>
          <w:color w:val="auto"/>
          <w:highlight w:val="none"/>
          <w:vertAlign w:val="superscript"/>
          <w:lang w:val="en-US" w:eastAsia="zh-CN"/>
        </w:rPr>
        <w:t>2</w:t>
      </w:r>
      <w:r>
        <w:rPr>
          <w:rFonts w:hint="default" w:ascii="Times New Roman" w:hAnsi="Times New Roman" w:cs="Times New Roman"/>
          <w:color w:val="auto"/>
          <w:highlight w:val="none"/>
          <w:lang w:val="en-US" w:eastAsia="zh-CN"/>
        </w:rPr>
        <w:t>，撒播草籽0.03hm</w:t>
      </w:r>
      <w:r>
        <w:rPr>
          <w:rFonts w:hint="default" w:ascii="Times New Roman" w:hAnsi="Times New Roman" w:cs="Times New Roman"/>
          <w:color w:val="auto"/>
          <w:highlight w:val="none"/>
          <w:vertAlign w:val="superscript"/>
          <w:lang w:val="en-US" w:eastAsia="zh-CN"/>
        </w:rPr>
        <w:t>2</w:t>
      </w:r>
      <w:r>
        <w:rPr>
          <w:rFonts w:hint="default" w:ascii="Times New Roman" w:hAnsi="Times New Roman" w:cs="Times New Roman"/>
          <w:color w:val="auto"/>
          <w:highlight w:val="none"/>
          <w:lang w:val="en-US" w:eastAsia="zh-CN"/>
        </w:rPr>
        <w:t xml:space="preserve"> ；</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③临时措施：临时排水沟长度200m，临时沉沙池1座，彩条布苫盖1000m</w:t>
      </w:r>
      <w:r>
        <w:rPr>
          <w:rFonts w:hint="default" w:ascii="Times New Roman" w:hAnsi="Times New Roman" w:cs="Times New Roman"/>
          <w:color w:val="auto"/>
          <w:highlight w:val="none"/>
          <w:vertAlign w:val="superscript"/>
          <w:lang w:val="en-US" w:eastAsia="zh-CN"/>
        </w:rPr>
        <w:t>2</w:t>
      </w:r>
      <w:r>
        <w:rPr>
          <w:rFonts w:hint="default" w:ascii="Times New Roman" w:hAnsi="Times New Roman" w:cs="Times New Roman"/>
          <w:color w:val="auto"/>
          <w:highlight w:val="none"/>
          <w:lang w:val="en-US" w:eastAsia="zh-CN"/>
        </w:rPr>
        <w:t>。</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（7）水土保持监测</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水土保持监测范围为项目水土流失防治责任范围，本项目水土保持监测范围为0.</w:t>
      </w:r>
      <w:r>
        <w:rPr>
          <w:rFonts w:hint="eastAsia" w:cs="Times New Roman"/>
          <w:color w:val="auto"/>
          <w:highlight w:val="none"/>
          <w:lang w:val="en-US" w:eastAsia="zh-CN"/>
        </w:rPr>
        <w:t>442</w:t>
      </w:r>
      <w:r>
        <w:rPr>
          <w:rFonts w:hint="default" w:ascii="Times New Roman" w:hAnsi="Times New Roman" w:cs="Times New Roman"/>
          <w:color w:val="auto"/>
          <w:highlight w:val="none"/>
          <w:lang w:val="en-US" w:eastAsia="zh-CN"/>
        </w:rPr>
        <w:t>hm</w:t>
      </w:r>
      <w:r>
        <w:rPr>
          <w:rFonts w:hint="default" w:ascii="Times New Roman" w:hAnsi="Times New Roman" w:cs="Times New Roman"/>
          <w:color w:val="auto"/>
          <w:highlight w:val="none"/>
          <w:vertAlign w:val="superscript"/>
          <w:lang w:val="en-US" w:eastAsia="zh-CN"/>
        </w:rPr>
        <w:t>2</w:t>
      </w:r>
      <w:r>
        <w:rPr>
          <w:rFonts w:hint="default" w:ascii="Times New Roman" w:hAnsi="Times New Roman" w:cs="Times New Roman"/>
          <w:color w:val="auto"/>
          <w:highlight w:val="none"/>
          <w:lang w:val="en-US" w:eastAsia="zh-CN"/>
        </w:rPr>
        <w:t>。本项目属于建设类项目，监测时段应从施工准备期开始，至设计水平年结束。具体监测时段为 202</w:t>
      </w:r>
      <w:r>
        <w:rPr>
          <w:rFonts w:hint="eastAsia" w:cs="Times New Roman"/>
          <w:color w:val="auto"/>
          <w:highlight w:val="none"/>
          <w:lang w:val="en-US" w:eastAsia="zh-CN"/>
        </w:rPr>
        <w:t>3</w:t>
      </w:r>
      <w:r>
        <w:rPr>
          <w:rFonts w:hint="default" w:ascii="Times New Roman" w:hAnsi="Times New Roman" w:cs="Times New Roman"/>
          <w:color w:val="auto"/>
          <w:highlight w:val="none"/>
          <w:lang w:val="en-US" w:eastAsia="zh-CN"/>
        </w:rPr>
        <w:t>年11月~202</w:t>
      </w:r>
      <w:r>
        <w:rPr>
          <w:rFonts w:hint="eastAsia" w:cs="Times New Roman"/>
          <w:color w:val="auto"/>
          <w:highlight w:val="none"/>
          <w:lang w:val="en-US" w:eastAsia="zh-CN"/>
        </w:rPr>
        <w:t>4</w:t>
      </w:r>
      <w:r>
        <w:rPr>
          <w:rFonts w:hint="default" w:ascii="Times New Roman" w:hAnsi="Times New Roman" w:cs="Times New Roman"/>
          <w:color w:val="auto"/>
          <w:highlight w:val="none"/>
          <w:lang w:val="en-US" w:eastAsia="zh-CN"/>
        </w:rPr>
        <w:t>年4月。</w:t>
      </w:r>
    </w:p>
    <w:p>
      <w:pPr>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本项目属于鼓励监测类项目，建设单位可以自行或者委托相应机构对水土流失进行监测。监测单位在监测工作开展前要制定监测实施方案，在监测期间要做好监测记录和数据整编，按季度编制监测报告，在水土保持设施验收前应编制监测总结报告。监测实施方案、日常监测记录和数据、监测意见、监测季报和总结报告，应及时报送至梅州市水务局。监测单位发现可能发生水土流失危害情况的，应随时向梅州市水务局报告。</w:t>
      </w:r>
    </w:p>
    <w:p>
      <w:pPr>
        <w:pStyle w:val="5"/>
        <w:bidi w:val="0"/>
        <w:rPr>
          <w:rFonts w:hint="default"/>
          <w:color w:val="auto"/>
          <w:highlight w:val="none"/>
        </w:rPr>
      </w:pPr>
      <w:r>
        <w:rPr>
          <w:rFonts w:hint="eastAsia"/>
          <w:color w:val="auto"/>
          <w:highlight w:val="none"/>
          <w:lang w:val="en-US" w:eastAsia="zh-CN"/>
        </w:rPr>
        <w:t>1.10.2</w:t>
      </w:r>
      <w:r>
        <w:rPr>
          <w:rFonts w:hint="default"/>
          <w:color w:val="auto"/>
          <w:highlight w:val="none"/>
        </w:rPr>
        <w:t>水土保持投资</w:t>
      </w:r>
      <w:r>
        <w:rPr>
          <w:rFonts w:hint="default"/>
          <w:color w:val="auto"/>
          <w:highlight w:val="none"/>
          <w:lang w:val="en-US" w:eastAsia="zh-CN"/>
        </w:rPr>
        <w:t>概</w:t>
      </w:r>
      <w:r>
        <w:rPr>
          <w:rFonts w:hint="default"/>
          <w:color w:val="auto"/>
          <w:highlight w:val="none"/>
        </w:rPr>
        <w:t>算</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依据广东省水利厅粤水基[2006]2号文发布的《广东省水利水电工程设计概(估)编制规定》、《广东省水利水电建筑工程概算定额》、水利部水总[2003]67号《水土保持工程概(估)算定额》、《水土保持工程概(估)算编制规定》、以及《广东省发展改革委　广东省财政厅　广东省水利厅关于规范水土保持补偿费征收标准的通知》（粤发改价格〔2021〕231号）进行编制。经计算，本工程水土保持工程投资概算总投资</w:t>
      </w:r>
      <w:r>
        <w:rPr>
          <w:rFonts w:hint="eastAsia" w:cs="Times New Roman"/>
          <w:color w:val="auto"/>
          <w:highlight w:val="none"/>
          <w:lang w:val="en-US" w:eastAsia="zh-CN"/>
        </w:rPr>
        <w:t>23.99</w:t>
      </w:r>
      <w:r>
        <w:rPr>
          <w:rFonts w:hint="default" w:ascii="Times New Roman" w:hAnsi="Times New Roman" w:cs="Times New Roman"/>
          <w:color w:val="auto"/>
          <w:highlight w:val="none"/>
          <w:lang w:val="en-US" w:eastAsia="zh-CN"/>
        </w:rPr>
        <w:t>万元。</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本工程水土保持工程投资概算见表</w:t>
      </w:r>
      <w:r>
        <w:rPr>
          <w:rFonts w:hint="eastAsia" w:ascii="Times New Roman" w:hAnsi="Times New Roman" w:cs="Times New Roman"/>
          <w:color w:val="auto"/>
          <w:highlight w:val="none"/>
          <w:lang w:val="en-US" w:eastAsia="zh-CN"/>
        </w:rPr>
        <w:t>1.10-1</w:t>
      </w:r>
      <w:r>
        <w:rPr>
          <w:rFonts w:hint="default" w:ascii="Times New Roman" w:hAnsi="Times New Roman" w:cs="Times New Roman"/>
          <w:color w:val="auto"/>
          <w:highlight w:val="none"/>
          <w:lang w:val="en-US" w:eastAsia="zh-CN"/>
        </w:rPr>
        <w:t>。</w:t>
      </w:r>
    </w:p>
    <w:p>
      <w:pPr>
        <w:bidi w:val="0"/>
        <w:ind w:left="0" w:leftChars="0" w:firstLine="0" w:firstLineChars="0"/>
        <w:jc w:val="center"/>
        <w:rPr>
          <w:rFonts w:hint="default"/>
          <w:color w:val="auto"/>
          <w:highlight w:val="none"/>
          <w:lang w:val="en-US" w:eastAsia="zh-CN"/>
        </w:rPr>
      </w:pPr>
      <w:r>
        <w:rPr>
          <w:rFonts w:hint="default"/>
          <w:color w:val="auto"/>
          <w:highlight w:val="none"/>
          <w:lang w:val="en-US" w:eastAsia="zh-CN"/>
        </w:rPr>
        <w:t>表</w:t>
      </w:r>
      <w:r>
        <w:rPr>
          <w:rFonts w:hint="eastAsia"/>
          <w:color w:val="auto"/>
          <w:highlight w:val="none"/>
          <w:lang w:val="en-US" w:eastAsia="zh-CN"/>
        </w:rPr>
        <w:t xml:space="preserve">1.10-1  </w:t>
      </w:r>
      <w:r>
        <w:rPr>
          <w:rFonts w:hint="default"/>
          <w:color w:val="auto"/>
          <w:highlight w:val="none"/>
          <w:lang w:val="en-US" w:eastAsia="zh-CN"/>
        </w:rPr>
        <w:tab/>
      </w:r>
      <w:r>
        <w:rPr>
          <w:rFonts w:hint="default"/>
          <w:color w:val="auto"/>
          <w:highlight w:val="none"/>
          <w:lang w:val="en-US" w:eastAsia="zh-CN"/>
        </w:rPr>
        <w:t>水土保持工程投资概算总表  单位：万元</w:t>
      </w:r>
    </w:p>
    <w:tbl>
      <w:tblPr>
        <w:tblStyle w:val="23"/>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06"/>
        <w:gridCol w:w="2441"/>
        <w:gridCol w:w="1154"/>
        <w:gridCol w:w="1094"/>
        <w:gridCol w:w="1064"/>
        <w:gridCol w:w="1141"/>
        <w:gridCol w:w="81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jc w:val="center"/>
        </w:trPr>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序号</w:t>
            </w:r>
          </w:p>
        </w:tc>
        <w:tc>
          <w:tcPr>
            <w:tcW w:w="14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工程或费用名称</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建安工程费</w:t>
            </w:r>
          </w:p>
        </w:tc>
        <w:tc>
          <w:tcPr>
            <w:tcW w:w="6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设备费</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植物措施费</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独立费用</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合计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47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一</w:t>
            </w:r>
          </w:p>
        </w:tc>
        <w:tc>
          <w:tcPr>
            <w:tcW w:w="143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第一部分 工程措施</w:t>
            </w:r>
          </w:p>
        </w:tc>
        <w:tc>
          <w:tcPr>
            <w:tcW w:w="6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0.49</w:t>
            </w:r>
          </w:p>
        </w:tc>
        <w:tc>
          <w:tcPr>
            <w:tcW w:w="64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 </w:t>
            </w:r>
          </w:p>
        </w:tc>
        <w:tc>
          <w:tcPr>
            <w:tcW w:w="62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 </w:t>
            </w:r>
          </w:p>
        </w:tc>
        <w:tc>
          <w:tcPr>
            <w:tcW w:w="66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 </w:t>
            </w:r>
          </w:p>
        </w:tc>
        <w:tc>
          <w:tcPr>
            <w:tcW w:w="47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0.49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47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1</w:t>
            </w:r>
          </w:p>
        </w:tc>
        <w:tc>
          <w:tcPr>
            <w:tcW w:w="143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一 表土剥离及回填</w:t>
            </w:r>
          </w:p>
        </w:tc>
        <w:tc>
          <w:tcPr>
            <w:tcW w:w="6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0.49</w:t>
            </w:r>
          </w:p>
        </w:tc>
        <w:tc>
          <w:tcPr>
            <w:tcW w:w="64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 </w:t>
            </w:r>
          </w:p>
        </w:tc>
        <w:tc>
          <w:tcPr>
            <w:tcW w:w="62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 </w:t>
            </w:r>
          </w:p>
        </w:tc>
        <w:tc>
          <w:tcPr>
            <w:tcW w:w="66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 </w:t>
            </w:r>
          </w:p>
        </w:tc>
        <w:tc>
          <w:tcPr>
            <w:tcW w:w="47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0.49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47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二</w:t>
            </w:r>
          </w:p>
        </w:tc>
        <w:tc>
          <w:tcPr>
            <w:tcW w:w="143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第二部分 植物措施</w:t>
            </w:r>
          </w:p>
        </w:tc>
        <w:tc>
          <w:tcPr>
            <w:tcW w:w="6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 </w:t>
            </w:r>
          </w:p>
        </w:tc>
        <w:tc>
          <w:tcPr>
            <w:tcW w:w="64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 </w:t>
            </w:r>
          </w:p>
        </w:tc>
        <w:tc>
          <w:tcPr>
            <w:tcW w:w="62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0.06</w:t>
            </w:r>
          </w:p>
        </w:tc>
        <w:tc>
          <w:tcPr>
            <w:tcW w:w="66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 </w:t>
            </w:r>
          </w:p>
        </w:tc>
        <w:tc>
          <w:tcPr>
            <w:tcW w:w="47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0.06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47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1</w:t>
            </w:r>
          </w:p>
        </w:tc>
        <w:tc>
          <w:tcPr>
            <w:tcW w:w="143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一 植物措施</w:t>
            </w:r>
          </w:p>
        </w:tc>
        <w:tc>
          <w:tcPr>
            <w:tcW w:w="6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 </w:t>
            </w:r>
          </w:p>
        </w:tc>
        <w:tc>
          <w:tcPr>
            <w:tcW w:w="64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 </w:t>
            </w:r>
          </w:p>
        </w:tc>
        <w:tc>
          <w:tcPr>
            <w:tcW w:w="62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0.06</w:t>
            </w:r>
          </w:p>
        </w:tc>
        <w:tc>
          <w:tcPr>
            <w:tcW w:w="66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 </w:t>
            </w:r>
          </w:p>
        </w:tc>
        <w:tc>
          <w:tcPr>
            <w:tcW w:w="47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0.06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47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三</w:t>
            </w:r>
          </w:p>
        </w:tc>
        <w:tc>
          <w:tcPr>
            <w:tcW w:w="143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第三部分 监测措施</w:t>
            </w:r>
          </w:p>
        </w:tc>
        <w:tc>
          <w:tcPr>
            <w:tcW w:w="6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10.</w:t>
            </w:r>
          </w:p>
        </w:tc>
        <w:tc>
          <w:tcPr>
            <w:tcW w:w="64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 </w:t>
            </w:r>
          </w:p>
        </w:tc>
        <w:tc>
          <w:tcPr>
            <w:tcW w:w="62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 </w:t>
            </w:r>
          </w:p>
        </w:tc>
        <w:tc>
          <w:tcPr>
            <w:tcW w:w="66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 </w:t>
            </w:r>
          </w:p>
        </w:tc>
        <w:tc>
          <w:tcPr>
            <w:tcW w:w="47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47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1</w:t>
            </w:r>
          </w:p>
        </w:tc>
        <w:tc>
          <w:tcPr>
            <w:tcW w:w="143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一 设备及安装</w:t>
            </w:r>
          </w:p>
        </w:tc>
        <w:tc>
          <w:tcPr>
            <w:tcW w:w="6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2.</w:t>
            </w:r>
          </w:p>
        </w:tc>
        <w:tc>
          <w:tcPr>
            <w:tcW w:w="64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 </w:t>
            </w:r>
          </w:p>
        </w:tc>
        <w:tc>
          <w:tcPr>
            <w:tcW w:w="62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 </w:t>
            </w:r>
          </w:p>
        </w:tc>
        <w:tc>
          <w:tcPr>
            <w:tcW w:w="66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 </w:t>
            </w:r>
          </w:p>
        </w:tc>
        <w:tc>
          <w:tcPr>
            <w:tcW w:w="47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47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2</w:t>
            </w:r>
          </w:p>
        </w:tc>
        <w:tc>
          <w:tcPr>
            <w:tcW w:w="143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三 建设期观测人工费用</w:t>
            </w:r>
          </w:p>
        </w:tc>
        <w:tc>
          <w:tcPr>
            <w:tcW w:w="6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8.</w:t>
            </w:r>
          </w:p>
        </w:tc>
        <w:tc>
          <w:tcPr>
            <w:tcW w:w="64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 </w:t>
            </w:r>
          </w:p>
        </w:tc>
        <w:tc>
          <w:tcPr>
            <w:tcW w:w="62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 </w:t>
            </w:r>
          </w:p>
        </w:tc>
        <w:tc>
          <w:tcPr>
            <w:tcW w:w="66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 </w:t>
            </w:r>
          </w:p>
        </w:tc>
        <w:tc>
          <w:tcPr>
            <w:tcW w:w="47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47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四</w:t>
            </w:r>
          </w:p>
        </w:tc>
        <w:tc>
          <w:tcPr>
            <w:tcW w:w="143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第四部分 施工临时工程</w:t>
            </w:r>
          </w:p>
        </w:tc>
        <w:tc>
          <w:tcPr>
            <w:tcW w:w="6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0.77</w:t>
            </w:r>
          </w:p>
        </w:tc>
        <w:tc>
          <w:tcPr>
            <w:tcW w:w="64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 </w:t>
            </w:r>
          </w:p>
        </w:tc>
        <w:tc>
          <w:tcPr>
            <w:tcW w:w="62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 </w:t>
            </w:r>
          </w:p>
        </w:tc>
        <w:tc>
          <w:tcPr>
            <w:tcW w:w="66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 </w:t>
            </w:r>
          </w:p>
        </w:tc>
        <w:tc>
          <w:tcPr>
            <w:tcW w:w="47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0.77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47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1</w:t>
            </w:r>
          </w:p>
        </w:tc>
        <w:tc>
          <w:tcPr>
            <w:tcW w:w="143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一 临时防护工程</w:t>
            </w:r>
          </w:p>
        </w:tc>
        <w:tc>
          <w:tcPr>
            <w:tcW w:w="6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0.76</w:t>
            </w:r>
          </w:p>
        </w:tc>
        <w:tc>
          <w:tcPr>
            <w:tcW w:w="64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 </w:t>
            </w:r>
          </w:p>
        </w:tc>
        <w:tc>
          <w:tcPr>
            <w:tcW w:w="62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 </w:t>
            </w:r>
          </w:p>
        </w:tc>
        <w:tc>
          <w:tcPr>
            <w:tcW w:w="66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 </w:t>
            </w:r>
          </w:p>
        </w:tc>
        <w:tc>
          <w:tcPr>
            <w:tcW w:w="47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0.76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47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2</w:t>
            </w:r>
          </w:p>
        </w:tc>
        <w:tc>
          <w:tcPr>
            <w:tcW w:w="143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其他临时工程费</w:t>
            </w:r>
          </w:p>
        </w:tc>
        <w:tc>
          <w:tcPr>
            <w:tcW w:w="6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0.01</w:t>
            </w:r>
          </w:p>
        </w:tc>
        <w:tc>
          <w:tcPr>
            <w:tcW w:w="64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 </w:t>
            </w:r>
          </w:p>
        </w:tc>
        <w:tc>
          <w:tcPr>
            <w:tcW w:w="62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 </w:t>
            </w:r>
          </w:p>
        </w:tc>
        <w:tc>
          <w:tcPr>
            <w:tcW w:w="66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 </w:t>
            </w:r>
          </w:p>
        </w:tc>
        <w:tc>
          <w:tcPr>
            <w:tcW w:w="47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0.01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47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五</w:t>
            </w:r>
          </w:p>
        </w:tc>
        <w:tc>
          <w:tcPr>
            <w:tcW w:w="143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第五部分 独立费用</w:t>
            </w:r>
          </w:p>
        </w:tc>
        <w:tc>
          <w:tcPr>
            <w:tcW w:w="6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 </w:t>
            </w:r>
          </w:p>
        </w:tc>
        <w:tc>
          <w:tcPr>
            <w:tcW w:w="64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 </w:t>
            </w:r>
          </w:p>
        </w:tc>
        <w:tc>
          <w:tcPr>
            <w:tcW w:w="62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 </w:t>
            </w:r>
          </w:p>
        </w:tc>
        <w:tc>
          <w:tcPr>
            <w:tcW w:w="66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16.03</w:t>
            </w:r>
          </w:p>
        </w:tc>
        <w:tc>
          <w:tcPr>
            <w:tcW w:w="47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16.03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47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1</w:t>
            </w:r>
          </w:p>
        </w:tc>
        <w:tc>
          <w:tcPr>
            <w:tcW w:w="143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建设单位管理费</w:t>
            </w:r>
          </w:p>
        </w:tc>
        <w:tc>
          <w:tcPr>
            <w:tcW w:w="6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 </w:t>
            </w:r>
          </w:p>
        </w:tc>
        <w:tc>
          <w:tcPr>
            <w:tcW w:w="64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 </w:t>
            </w:r>
          </w:p>
        </w:tc>
        <w:tc>
          <w:tcPr>
            <w:tcW w:w="62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 </w:t>
            </w:r>
          </w:p>
        </w:tc>
        <w:tc>
          <w:tcPr>
            <w:tcW w:w="66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0.34</w:t>
            </w:r>
          </w:p>
        </w:tc>
        <w:tc>
          <w:tcPr>
            <w:tcW w:w="47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0.34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47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2</w:t>
            </w:r>
          </w:p>
        </w:tc>
        <w:tc>
          <w:tcPr>
            <w:tcW w:w="143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招标业务费</w:t>
            </w:r>
          </w:p>
        </w:tc>
        <w:tc>
          <w:tcPr>
            <w:tcW w:w="6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 </w:t>
            </w:r>
          </w:p>
        </w:tc>
        <w:tc>
          <w:tcPr>
            <w:tcW w:w="64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 </w:t>
            </w:r>
          </w:p>
        </w:tc>
        <w:tc>
          <w:tcPr>
            <w:tcW w:w="62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 </w:t>
            </w:r>
          </w:p>
        </w:tc>
        <w:tc>
          <w:tcPr>
            <w:tcW w:w="66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 </w:t>
            </w:r>
          </w:p>
        </w:tc>
        <w:tc>
          <w:tcPr>
            <w:tcW w:w="47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47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3</w:t>
            </w:r>
          </w:p>
        </w:tc>
        <w:tc>
          <w:tcPr>
            <w:tcW w:w="143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经济技术咨询费</w:t>
            </w:r>
          </w:p>
        </w:tc>
        <w:tc>
          <w:tcPr>
            <w:tcW w:w="6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 </w:t>
            </w:r>
          </w:p>
        </w:tc>
        <w:tc>
          <w:tcPr>
            <w:tcW w:w="64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 </w:t>
            </w:r>
          </w:p>
        </w:tc>
        <w:tc>
          <w:tcPr>
            <w:tcW w:w="62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 </w:t>
            </w:r>
          </w:p>
        </w:tc>
        <w:tc>
          <w:tcPr>
            <w:tcW w:w="66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1</w:t>
            </w:r>
            <w:r>
              <w:rPr>
                <w:rFonts w:hint="eastAsia" w:ascii="Times New Roman" w:hAnsi="Times New Roman" w:eastAsia="宋体" w:cs="Times New Roman"/>
                <w:i w:val="0"/>
                <w:iCs w:val="0"/>
                <w:color w:val="auto"/>
                <w:kern w:val="0"/>
                <w:sz w:val="21"/>
                <w:szCs w:val="21"/>
                <w:highlight w:val="none"/>
                <w:u w:val="none"/>
                <w:lang w:val="en-US" w:eastAsia="zh-CN" w:bidi="ar"/>
              </w:rPr>
              <w:t>0</w:t>
            </w:r>
            <w:r>
              <w:rPr>
                <w:rFonts w:hint="default" w:ascii="Times New Roman" w:hAnsi="Times New Roman" w:eastAsia="宋体" w:cs="Times New Roman"/>
                <w:i w:val="0"/>
                <w:iCs w:val="0"/>
                <w:color w:val="auto"/>
                <w:kern w:val="0"/>
                <w:sz w:val="21"/>
                <w:szCs w:val="21"/>
                <w:highlight w:val="none"/>
                <w:u w:val="none"/>
                <w:lang w:val="en-US" w:eastAsia="zh-CN" w:bidi="ar"/>
              </w:rPr>
              <w:t>.06</w:t>
            </w:r>
          </w:p>
        </w:tc>
        <w:tc>
          <w:tcPr>
            <w:tcW w:w="47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1</w:t>
            </w:r>
            <w:r>
              <w:rPr>
                <w:rFonts w:hint="eastAsia" w:ascii="Times New Roman" w:hAnsi="Times New Roman" w:eastAsia="宋体" w:cs="Times New Roman"/>
                <w:i w:val="0"/>
                <w:iCs w:val="0"/>
                <w:color w:val="auto"/>
                <w:kern w:val="0"/>
                <w:sz w:val="21"/>
                <w:szCs w:val="21"/>
                <w:highlight w:val="none"/>
                <w:u w:val="none"/>
                <w:lang w:val="en-US" w:eastAsia="zh-CN" w:bidi="ar"/>
              </w:rPr>
              <w:t>0</w:t>
            </w:r>
            <w:r>
              <w:rPr>
                <w:rFonts w:hint="default" w:ascii="Times New Roman" w:hAnsi="Times New Roman" w:eastAsia="宋体" w:cs="Times New Roman"/>
                <w:i w:val="0"/>
                <w:iCs w:val="0"/>
                <w:color w:val="auto"/>
                <w:kern w:val="0"/>
                <w:sz w:val="21"/>
                <w:szCs w:val="21"/>
                <w:highlight w:val="none"/>
                <w:u w:val="none"/>
                <w:lang w:val="en-US" w:eastAsia="zh-CN" w:bidi="ar"/>
              </w:rPr>
              <w:t>.06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47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4</w:t>
            </w:r>
          </w:p>
        </w:tc>
        <w:tc>
          <w:tcPr>
            <w:tcW w:w="143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工程建设监理费</w:t>
            </w:r>
          </w:p>
        </w:tc>
        <w:tc>
          <w:tcPr>
            <w:tcW w:w="6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 </w:t>
            </w:r>
          </w:p>
        </w:tc>
        <w:tc>
          <w:tcPr>
            <w:tcW w:w="64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 </w:t>
            </w:r>
          </w:p>
        </w:tc>
        <w:tc>
          <w:tcPr>
            <w:tcW w:w="62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 </w:t>
            </w:r>
          </w:p>
        </w:tc>
        <w:tc>
          <w:tcPr>
            <w:tcW w:w="66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0.39</w:t>
            </w:r>
          </w:p>
        </w:tc>
        <w:tc>
          <w:tcPr>
            <w:tcW w:w="47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0.39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47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5</w:t>
            </w:r>
          </w:p>
        </w:tc>
        <w:tc>
          <w:tcPr>
            <w:tcW w:w="143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工程造价咨询服务费</w:t>
            </w:r>
          </w:p>
        </w:tc>
        <w:tc>
          <w:tcPr>
            <w:tcW w:w="6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 </w:t>
            </w:r>
          </w:p>
        </w:tc>
        <w:tc>
          <w:tcPr>
            <w:tcW w:w="64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 </w:t>
            </w:r>
          </w:p>
        </w:tc>
        <w:tc>
          <w:tcPr>
            <w:tcW w:w="62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 </w:t>
            </w:r>
          </w:p>
        </w:tc>
        <w:tc>
          <w:tcPr>
            <w:tcW w:w="66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0.2</w:t>
            </w:r>
          </w:p>
        </w:tc>
        <w:tc>
          <w:tcPr>
            <w:tcW w:w="47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47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6</w:t>
            </w:r>
          </w:p>
        </w:tc>
        <w:tc>
          <w:tcPr>
            <w:tcW w:w="143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科研勘测设计费</w:t>
            </w:r>
          </w:p>
        </w:tc>
        <w:tc>
          <w:tcPr>
            <w:tcW w:w="6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 </w:t>
            </w:r>
          </w:p>
        </w:tc>
        <w:tc>
          <w:tcPr>
            <w:tcW w:w="64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 </w:t>
            </w:r>
          </w:p>
        </w:tc>
        <w:tc>
          <w:tcPr>
            <w:tcW w:w="62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 </w:t>
            </w:r>
          </w:p>
        </w:tc>
        <w:tc>
          <w:tcPr>
            <w:tcW w:w="66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0.05</w:t>
            </w:r>
          </w:p>
        </w:tc>
        <w:tc>
          <w:tcPr>
            <w:tcW w:w="47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0.05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47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I</w:t>
            </w:r>
          </w:p>
        </w:tc>
        <w:tc>
          <w:tcPr>
            <w:tcW w:w="143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一至五部分合计</w:t>
            </w:r>
          </w:p>
        </w:tc>
        <w:tc>
          <w:tcPr>
            <w:tcW w:w="6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11.26</w:t>
            </w:r>
          </w:p>
        </w:tc>
        <w:tc>
          <w:tcPr>
            <w:tcW w:w="64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 </w:t>
            </w:r>
          </w:p>
        </w:tc>
        <w:tc>
          <w:tcPr>
            <w:tcW w:w="62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0.06</w:t>
            </w:r>
          </w:p>
        </w:tc>
        <w:tc>
          <w:tcPr>
            <w:tcW w:w="66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1</w:t>
            </w:r>
            <w:r>
              <w:rPr>
                <w:rFonts w:hint="eastAsia" w:ascii="Times New Roman" w:hAnsi="Times New Roman" w:eastAsia="宋体" w:cs="Times New Roman"/>
                <w:i w:val="0"/>
                <w:iCs w:val="0"/>
                <w:color w:val="auto"/>
                <w:kern w:val="0"/>
                <w:sz w:val="21"/>
                <w:szCs w:val="21"/>
                <w:highlight w:val="none"/>
                <w:u w:val="none"/>
                <w:lang w:val="en-US" w:eastAsia="zh-CN" w:bidi="ar"/>
              </w:rPr>
              <w:t>1</w:t>
            </w:r>
            <w:r>
              <w:rPr>
                <w:rFonts w:hint="default" w:ascii="Times New Roman" w:hAnsi="Times New Roman" w:eastAsia="宋体" w:cs="Times New Roman"/>
                <w:i w:val="0"/>
                <w:iCs w:val="0"/>
                <w:color w:val="auto"/>
                <w:kern w:val="0"/>
                <w:sz w:val="21"/>
                <w:szCs w:val="21"/>
                <w:highlight w:val="none"/>
                <w:u w:val="none"/>
                <w:lang w:val="en-US" w:eastAsia="zh-CN" w:bidi="ar"/>
              </w:rPr>
              <w:t>.03</w:t>
            </w:r>
          </w:p>
        </w:tc>
        <w:tc>
          <w:tcPr>
            <w:tcW w:w="47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2</w:t>
            </w:r>
            <w:r>
              <w:rPr>
                <w:rFonts w:hint="eastAsia" w:ascii="Times New Roman" w:hAnsi="Times New Roman" w:eastAsia="宋体" w:cs="Times New Roman"/>
                <w:i w:val="0"/>
                <w:iCs w:val="0"/>
                <w:color w:val="auto"/>
                <w:kern w:val="0"/>
                <w:sz w:val="21"/>
                <w:szCs w:val="21"/>
                <w:highlight w:val="none"/>
                <w:u w:val="none"/>
                <w:lang w:val="en-US" w:eastAsia="zh-CN" w:bidi="ar"/>
              </w:rPr>
              <w:t>2</w:t>
            </w:r>
            <w:r>
              <w:rPr>
                <w:rFonts w:hint="default" w:ascii="Times New Roman" w:hAnsi="Times New Roman" w:eastAsia="宋体" w:cs="Times New Roman"/>
                <w:i w:val="0"/>
                <w:iCs w:val="0"/>
                <w:color w:val="auto"/>
                <w:kern w:val="0"/>
                <w:sz w:val="21"/>
                <w:szCs w:val="21"/>
                <w:highlight w:val="none"/>
                <w:u w:val="none"/>
                <w:lang w:val="en-US" w:eastAsia="zh-CN" w:bidi="ar"/>
              </w:rPr>
              <w:t>.35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47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II</w:t>
            </w:r>
          </w:p>
        </w:tc>
        <w:tc>
          <w:tcPr>
            <w:tcW w:w="143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基本预备费</w:t>
            </w:r>
          </w:p>
        </w:tc>
        <w:tc>
          <w:tcPr>
            <w:tcW w:w="6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 </w:t>
            </w:r>
          </w:p>
        </w:tc>
        <w:tc>
          <w:tcPr>
            <w:tcW w:w="64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 </w:t>
            </w:r>
          </w:p>
        </w:tc>
        <w:tc>
          <w:tcPr>
            <w:tcW w:w="62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 </w:t>
            </w:r>
          </w:p>
        </w:tc>
        <w:tc>
          <w:tcPr>
            <w:tcW w:w="66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 </w:t>
            </w:r>
          </w:p>
        </w:tc>
        <w:tc>
          <w:tcPr>
            <w:tcW w:w="47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1.37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47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III</w:t>
            </w:r>
          </w:p>
        </w:tc>
        <w:tc>
          <w:tcPr>
            <w:tcW w:w="143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价差预备费</w:t>
            </w:r>
          </w:p>
        </w:tc>
        <w:tc>
          <w:tcPr>
            <w:tcW w:w="6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 </w:t>
            </w:r>
          </w:p>
        </w:tc>
        <w:tc>
          <w:tcPr>
            <w:tcW w:w="64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 </w:t>
            </w:r>
          </w:p>
        </w:tc>
        <w:tc>
          <w:tcPr>
            <w:tcW w:w="62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 </w:t>
            </w:r>
          </w:p>
        </w:tc>
        <w:tc>
          <w:tcPr>
            <w:tcW w:w="66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 </w:t>
            </w:r>
          </w:p>
        </w:tc>
        <w:tc>
          <w:tcPr>
            <w:tcW w:w="47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47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IV</w:t>
            </w:r>
          </w:p>
        </w:tc>
        <w:tc>
          <w:tcPr>
            <w:tcW w:w="143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水土保持设施补偿费</w:t>
            </w:r>
          </w:p>
        </w:tc>
        <w:tc>
          <w:tcPr>
            <w:tcW w:w="6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 </w:t>
            </w:r>
          </w:p>
        </w:tc>
        <w:tc>
          <w:tcPr>
            <w:tcW w:w="64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 </w:t>
            </w:r>
          </w:p>
        </w:tc>
        <w:tc>
          <w:tcPr>
            <w:tcW w:w="62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 </w:t>
            </w:r>
          </w:p>
        </w:tc>
        <w:tc>
          <w:tcPr>
            <w:tcW w:w="66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 </w:t>
            </w:r>
          </w:p>
        </w:tc>
        <w:tc>
          <w:tcPr>
            <w:tcW w:w="47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0.27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47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 </w:t>
            </w:r>
          </w:p>
        </w:tc>
        <w:tc>
          <w:tcPr>
            <w:tcW w:w="143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静态投资(I+II+IV)</w:t>
            </w:r>
          </w:p>
        </w:tc>
        <w:tc>
          <w:tcPr>
            <w:tcW w:w="6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 </w:t>
            </w:r>
          </w:p>
        </w:tc>
        <w:tc>
          <w:tcPr>
            <w:tcW w:w="64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 </w:t>
            </w:r>
          </w:p>
        </w:tc>
        <w:tc>
          <w:tcPr>
            <w:tcW w:w="62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 </w:t>
            </w:r>
          </w:p>
        </w:tc>
        <w:tc>
          <w:tcPr>
            <w:tcW w:w="66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 </w:t>
            </w:r>
          </w:p>
        </w:tc>
        <w:tc>
          <w:tcPr>
            <w:tcW w:w="47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2</w:t>
            </w:r>
            <w:r>
              <w:rPr>
                <w:rFonts w:hint="eastAsia" w:ascii="Times New Roman" w:hAnsi="Times New Roman" w:eastAsia="宋体" w:cs="Times New Roman"/>
                <w:i w:val="0"/>
                <w:iCs w:val="0"/>
                <w:color w:val="auto"/>
                <w:kern w:val="0"/>
                <w:sz w:val="21"/>
                <w:szCs w:val="21"/>
                <w:highlight w:val="none"/>
                <w:u w:val="none"/>
                <w:lang w:val="en-US" w:eastAsia="zh-CN" w:bidi="ar"/>
              </w:rPr>
              <w:t>3</w:t>
            </w:r>
            <w:r>
              <w:rPr>
                <w:rFonts w:hint="default" w:ascii="Times New Roman" w:hAnsi="Times New Roman" w:eastAsia="宋体" w:cs="Times New Roman"/>
                <w:i w:val="0"/>
                <w:iCs w:val="0"/>
                <w:color w:val="auto"/>
                <w:kern w:val="0"/>
                <w:sz w:val="21"/>
                <w:szCs w:val="21"/>
                <w:highlight w:val="none"/>
                <w:u w:val="none"/>
                <w:lang w:val="en-US" w:eastAsia="zh-CN" w:bidi="ar"/>
              </w:rPr>
              <w:t>.99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47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 </w:t>
            </w:r>
          </w:p>
        </w:tc>
        <w:tc>
          <w:tcPr>
            <w:tcW w:w="143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总投资(I+II+III+IV)</w:t>
            </w:r>
          </w:p>
        </w:tc>
        <w:tc>
          <w:tcPr>
            <w:tcW w:w="6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 </w:t>
            </w:r>
          </w:p>
        </w:tc>
        <w:tc>
          <w:tcPr>
            <w:tcW w:w="64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 </w:t>
            </w:r>
          </w:p>
        </w:tc>
        <w:tc>
          <w:tcPr>
            <w:tcW w:w="62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 </w:t>
            </w:r>
          </w:p>
        </w:tc>
        <w:tc>
          <w:tcPr>
            <w:tcW w:w="66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 xml:space="preserve"> </w:t>
            </w:r>
          </w:p>
        </w:tc>
        <w:tc>
          <w:tcPr>
            <w:tcW w:w="47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2</w:t>
            </w:r>
            <w:r>
              <w:rPr>
                <w:rFonts w:hint="eastAsia" w:ascii="Times New Roman" w:hAnsi="Times New Roman" w:eastAsia="宋体" w:cs="Times New Roman"/>
                <w:i w:val="0"/>
                <w:iCs w:val="0"/>
                <w:color w:val="auto"/>
                <w:kern w:val="0"/>
                <w:sz w:val="21"/>
                <w:szCs w:val="21"/>
                <w:highlight w:val="none"/>
                <w:u w:val="none"/>
                <w:lang w:val="en-US" w:eastAsia="zh-CN" w:bidi="ar"/>
              </w:rPr>
              <w:t>3</w:t>
            </w:r>
            <w:r>
              <w:rPr>
                <w:rFonts w:hint="default" w:ascii="Times New Roman" w:hAnsi="Times New Roman" w:eastAsia="宋体" w:cs="Times New Roman"/>
                <w:i w:val="0"/>
                <w:iCs w:val="0"/>
                <w:color w:val="auto"/>
                <w:kern w:val="0"/>
                <w:sz w:val="21"/>
                <w:szCs w:val="21"/>
                <w:highlight w:val="none"/>
                <w:u w:val="none"/>
                <w:lang w:val="en-US" w:eastAsia="zh-CN" w:bidi="ar"/>
              </w:rPr>
              <w:t>.99</w:t>
            </w:r>
          </w:p>
        </w:tc>
      </w:tr>
    </w:tbl>
    <w:p>
      <w:pPr>
        <w:pStyle w:val="21"/>
        <w:ind w:left="0" w:leftChars="0" w:firstLine="0" w:firstLineChars="0"/>
        <w:rPr>
          <w:rFonts w:hint="eastAsia"/>
          <w:color w:val="auto"/>
          <w:highlight w:val="none"/>
          <w:lang w:val="en-US" w:eastAsia="zh-CN"/>
        </w:rPr>
      </w:pPr>
    </w:p>
    <w:p>
      <w:pPr>
        <w:pStyle w:val="4"/>
        <w:bidi w:val="0"/>
        <w:rPr>
          <w:rFonts w:hint="eastAsia"/>
          <w:color w:val="auto"/>
          <w:highlight w:val="none"/>
          <w:lang w:val="en-US" w:eastAsia="zh-CN"/>
        </w:rPr>
      </w:pPr>
      <w:bookmarkStart w:id="74" w:name="_Toc372489927"/>
      <w:r>
        <w:rPr>
          <w:rFonts w:hint="eastAsia"/>
          <w:color w:val="auto"/>
          <w:highlight w:val="none"/>
          <w:lang w:val="en-US" w:eastAsia="zh-CN"/>
        </w:rPr>
        <w:t>1.11劳动安全与工业卫生</w:t>
      </w:r>
      <w:bookmarkEnd w:id="74"/>
    </w:p>
    <w:p>
      <w:pPr>
        <w:bidi w:val="0"/>
        <w:rPr>
          <w:color w:val="auto"/>
          <w:highlight w:val="none"/>
        </w:rPr>
      </w:pPr>
      <w:r>
        <w:rPr>
          <w:color w:val="auto"/>
          <w:highlight w:val="none"/>
        </w:rPr>
        <w:t>根据本工程的规模和特点，不</w:t>
      </w:r>
      <w:r>
        <w:rPr>
          <w:rFonts w:hint="eastAsia"/>
          <w:color w:val="auto"/>
          <w:highlight w:val="none"/>
        </w:rPr>
        <w:t>再</w:t>
      </w:r>
      <w:r>
        <w:rPr>
          <w:color w:val="auto"/>
          <w:highlight w:val="none"/>
        </w:rPr>
        <w:t>设置安全卫生管理机构，</w:t>
      </w:r>
      <w:r>
        <w:rPr>
          <w:rFonts w:hint="eastAsia"/>
          <w:color w:val="auto"/>
          <w:highlight w:val="none"/>
        </w:rPr>
        <w:t>施工项目部设专职安全管理员，</w:t>
      </w:r>
      <w:r>
        <w:rPr>
          <w:color w:val="auto"/>
          <w:highlight w:val="none"/>
        </w:rPr>
        <w:t>负责工程项目投产后的安全卫生方面的宣传教育和管理工作。</w:t>
      </w:r>
    </w:p>
    <w:p>
      <w:pPr>
        <w:bidi w:val="0"/>
        <w:rPr>
          <w:color w:val="auto"/>
          <w:highlight w:val="none"/>
        </w:rPr>
      </w:pPr>
      <w:r>
        <w:rPr>
          <w:rFonts w:hint="eastAsia"/>
          <w:color w:val="auto"/>
          <w:highlight w:val="none"/>
        </w:rPr>
        <w:t>安全生产是水利工程顺利运行的重要保证， 需由主要领导主管该工作，并经常对职工进行安全生产方面的培训。为保证职工的卫生管理和产安全，</w:t>
      </w:r>
      <w:r>
        <w:rPr>
          <w:color w:val="auto"/>
          <w:highlight w:val="none"/>
        </w:rPr>
        <w:t>并根据工程运行的需要配置一定的防护工具。</w:t>
      </w:r>
    </w:p>
    <w:p>
      <w:pPr>
        <w:bidi w:val="0"/>
        <w:rPr>
          <w:color w:val="auto"/>
          <w:highlight w:val="none"/>
        </w:rPr>
      </w:pPr>
      <w:r>
        <w:rPr>
          <w:color w:val="auto"/>
          <w:highlight w:val="none"/>
          <w:lang w:val="en-US" w:eastAsia="zh-CN"/>
        </w:rPr>
        <w:t>工程的辅助用室</w:t>
      </w:r>
      <w:r>
        <w:rPr>
          <w:rFonts w:hint="eastAsia"/>
          <w:color w:val="auto"/>
          <w:highlight w:val="none"/>
          <w:lang w:val="en-US" w:eastAsia="zh-CN"/>
        </w:rPr>
        <w:t>要求应符合</w:t>
      </w:r>
      <w:r>
        <w:rPr>
          <w:color w:val="auto"/>
          <w:highlight w:val="none"/>
          <w:lang w:val="en-US" w:eastAsia="zh-CN"/>
        </w:rPr>
        <w:t>《工业企业设计卫生标准》</w:t>
      </w:r>
      <w:r>
        <w:rPr>
          <w:rFonts w:hint="eastAsia"/>
          <w:color w:val="auto"/>
          <w:highlight w:val="none"/>
          <w:lang w:val="en-US" w:eastAsia="zh-CN"/>
        </w:rPr>
        <w:t>（G</w:t>
      </w:r>
      <w:r>
        <w:rPr>
          <w:color w:val="auto"/>
          <w:highlight w:val="none"/>
          <w:lang w:val="en-US" w:eastAsia="zh-CN"/>
        </w:rPr>
        <w:t>BZ 1-2002</w:t>
      </w:r>
      <w:r>
        <w:rPr>
          <w:rFonts w:hint="eastAsia"/>
          <w:color w:val="auto"/>
          <w:highlight w:val="none"/>
          <w:lang w:val="en-US" w:eastAsia="zh-CN"/>
        </w:rPr>
        <w:t>）</w:t>
      </w:r>
      <w:r>
        <w:rPr>
          <w:color w:val="auto"/>
          <w:highlight w:val="none"/>
          <w:lang w:val="en-US" w:eastAsia="zh-CN"/>
        </w:rPr>
        <w:t>。在生产和工作场所，须结合工程具体情况，按照《工业企业设计卫生标准》设置休息室和厕所</w:t>
      </w:r>
      <w:r>
        <w:rPr>
          <w:rFonts w:hint="eastAsia"/>
          <w:color w:val="auto"/>
          <w:highlight w:val="none"/>
          <w:lang w:val="en-US" w:eastAsia="zh-CN"/>
        </w:rPr>
        <w:t>，休息室可兼作学习、进餐等使用，厕所污水须经过处理后才能排入水体。设置一定数量的淋浴室用于淋浴，工作场所考虑生活垃圾的清扫与存放。</w:t>
      </w:r>
    </w:p>
    <w:p>
      <w:pPr>
        <w:bidi w:val="0"/>
        <w:rPr>
          <w:color w:val="auto"/>
          <w:highlight w:val="none"/>
        </w:rPr>
      </w:pPr>
      <w:r>
        <w:rPr>
          <w:color w:val="auto"/>
          <w:highlight w:val="none"/>
        </w:rPr>
        <w:t>运行期内加强安全生产管理，建立、健全安全生产责任制度；完善安全生产条件，确保安全生产所必需的资金投入，提供符合国家标准或者行业标准的劳动防护用品。</w:t>
      </w:r>
    </w:p>
    <w:p>
      <w:pPr>
        <w:bidi w:val="0"/>
        <w:rPr>
          <w:color w:val="auto"/>
          <w:highlight w:val="none"/>
        </w:rPr>
      </w:pPr>
      <w:r>
        <w:rPr>
          <w:color w:val="auto"/>
          <w:highlight w:val="none"/>
        </w:rPr>
        <w:t>安全生产管理人员经安全生产培训、考核合格，从业人员经安全生产教育和培训合格，特种作业人员经专门的安全作业培训，并取得特种作业操作资格证。</w:t>
      </w:r>
    </w:p>
    <w:p>
      <w:pPr>
        <w:bidi w:val="0"/>
        <w:rPr>
          <w:color w:val="auto"/>
          <w:highlight w:val="none"/>
        </w:rPr>
      </w:pPr>
      <w:r>
        <w:rPr>
          <w:color w:val="auto"/>
          <w:highlight w:val="none"/>
        </w:rPr>
        <w:t>为迅速而有效地将事故损失减少至最低程度，应编制事故应急预案</w:t>
      </w:r>
      <w:r>
        <w:rPr>
          <w:rFonts w:hint="eastAsia"/>
          <w:color w:val="auto"/>
          <w:highlight w:val="none"/>
        </w:rPr>
        <w:t>，以应对各类事故、工程应急抢险、暴雨及超标洪水、地震及边坡失稳、突发性群体事件等。</w:t>
      </w:r>
      <w:r>
        <w:rPr>
          <w:color w:val="auto"/>
          <w:highlight w:val="none"/>
        </w:rPr>
        <w:t>事故发生后，事故现场有关人员应立即向本单位负责人报告；单位负责人接到报告后，应于1小时内向事故发生地县级以上人民政府安全生产监督管理部门和负有安全生产监督管理职责的有关部门报告。</w:t>
      </w:r>
    </w:p>
    <w:p>
      <w:pPr>
        <w:pStyle w:val="2"/>
        <w:rPr>
          <w:rFonts w:hint="default"/>
          <w:color w:val="auto"/>
          <w:highlight w:val="none"/>
          <w:lang w:val="en-US" w:eastAsia="zh-CN"/>
        </w:rPr>
      </w:pPr>
    </w:p>
    <w:p>
      <w:pPr>
        <w:pStyle w:val="4"/>
        <w:bidi w:val="0"/>
        <w:rPr>
          <w:rFonts w:hint="eastAsia"/>
          <w:color w:val="auto"/>
          <w:highlight w:val="none"/>
          <w:lang w:val="en-US" w:eastAsia="zh-CN"/>
        </w:rPr>
      </w:pPr>
      <w:bookmarkStart w:id="75" w:name="_Toc904346190"/>
      <w:r>
        <w:rPr>
          <w:rFonts w:hint="eastAsia"/>
          <w:color w:val="auto"/>
          <w:highlight w:val="none"/>
          <w:lang w:val="en-US" w:eastAsia="zh-CN"/>
        </w:rPr>
        <w:t>1.12节能设计</w:t>
      </w:r>
      <w:bookmarkEnd w:id="75"/>
    </w:p>
    <w:p>
      <w:pPr>
        <w:bidi w:val="0"/>
        <w:rPr>
          <w:color w:val="auto"/>
          <w:highlight w:val="none"/>
        </w:rPr>
      </w:pPr>
      <w:r>
        <w:rPr>
          <w:rFonts w:hint="eastAsia"/>
          <w:color w:val="auto"/>
          <w:highlight w:val="none"/>
        </w:rPr>
        <w:t>工程建设期能源消耗0</w:t>
      </w:r>
      <w:r>
        <w:rPr>
          <w:color w:val="auto"/>
          <w:highlight w:val="none"/>
        </w:rPr>
        <w:t>.4235</w:t>
      </w:r>
      <w:r>
        <w:rPr>
          <w:rFonts w:hint="eastAsia"/>
          <w:color w:val="auto"/>
          <w:highlight w:val="none"/>
        </w:rPr>
        <w:t>万吨</w:t>
      </w:r>
      <w:r>
        <w:rPr>
          <w:color w:val="auto"/>
          <w:highlight w:val="none"/>
        </w:rPr>
        <w:t>标准煤</w:t>
      </w:r>
      <w:r>
        <w:rPr>
          <w:rFonts w:hint="eastAsia"/>
          <w:color w:val="auto"/>
          <w:highlight w:val="none"/>
        </w:rPr>
        <w:t>，占2020年能源消耗总量</w:t>
      </w:r>
      <w:r>
        <w:rPr>
          <w:color w:val="auto"/>
          <w:highlight w:val="none"/>
        </w:rPr>
        <w:t>77.82</w:t>
      </w:r>
      <w:r>
        <w:rPr>
          <w:rFonts w:hint="eastAsia"/>
          <w:color w:val="auto"/>
          <w:highlight w:val="none"/>
        </w:rPr>
        <w:t>万吨</w:t>
      </w:r>
      <w:r>
        <w:rPr>
          <w:color w:val="auto"/>
          <w:highlight w:val="none"/>
        </w:rPr>
        <w:t>标准煤</w:t>
      </w:r>
      <w:r>
        <w:rPr>
          <w:rFonts w:hint="eastAsia"/>
          <w:color w:val="auto"/>
          <w:highlight w:val="none"/>
        </w:rPr>
        <w:t>的0.0</w:t>
      </w:r>
      <w:r>
        <w:rPr>
          <w:color w:val="auto"/>
          <w:highlight w:val="none"/>
        </w:rPr>
        <w:t>05</w:t>
      </w:r>
      <w:r>
        <w:rPr>
          <w:rFonts w:hint="eastAsia"/>
          <w:color w:val="auto"/>
          <w:highlight w:val="none"/>
        </w:rPr>
        <w:t>%。由于工程建设当年能源需求不大，不会给当地能源供应造成较大负担。</w:t>
      </w:r>
    </w:p>
    <w:p>
      <w:pPr>
        <w:bidi w:val="0"/>
        <w:rPr>
          <w:color w:val="auto"/>
          <w:highlight w:val="none"/>
        </w:rPr>
      </w:pPr>
      <w:r>
        <w:rPr>
          <w:rFonts w:hint="eastAsia"/>
          <w:color w:val="auto"/>
          <w:highlight w:val="none"/>
        </w:rPr>
        <w:t>本工程运行期每年耗电量</w:t>
      </w:r>
      <w:r>
        <w:rPr>
          <w:color w:val="auto"/>
          <w:highlight w:val="none"/>
        </w:rPr>
        <w:t>0.68</w:t>
      </w:r>
      <w:r>
        <w:rPr>
          <w:rFonts w:hint="eastAsia"/>
          <w:color w:val="auto"/>
          <w:highlight w:val="none"/>
        </w:rPr>
        <w:t>万</w:t>
      </w:r>
      <w:r>
        <w:rPr>
          <w:color w:val="auto"/>
          <w:highlight w:val="none"/>
        </w:rPr>
        <w:t>kW.</w:t>
      </w:r>
      <w:r>
        <w:rPr>
          <w:rFonts w:hint="eastAsia"/>
          <w:color w:val="auto"/>
          <w:highlight w:val="none"/>
        </w:rPr>
        <w:t>h，折标准煤量为</w:t>
      </w:r>
      <w:r>
        <w:rPr>
          <w:color w:val="auto"/>
          <w:highlight w:val="none"/>
        </w:rPr>
        <w:t>0.84</w:t>
      </w:r>
      <w:r>
        <w:rPr>
          <w:rFonts w:hint="eastAsia"/>
          <w:color w:val="auto"/>
          <w:highlight w:val="none"/>
        </w:rPr>
        <w:t>吨</w:t>
      </w:r>
      <w:r>
        <w:rPr>
          <w:color w:val="auto"/>
          <w:highlight w:val="none"/>
        </w:rPr>
        <w:t>标准煤</w:t>
      </w:r>
      <w:r>
        <w:rPr>
          <w:rFonts w:hint="eastAsia"/>
          <w:color w:val="auto"/>
          <w:highlight w:val="none"/>
        </w:rPr>
        <w:t>；水能消耗2</w:t>
      </w:r>
      <w:r>
        <w:rPr>
          <w:color w:val="auto"/>
          <w:highlight w:val="none"/>
        </w:rPr>
        <w:t>0.64t</w:t>
      </w:r>
      <w:r>
        <w:rPr>
          <w:rFonts w:hint="eastAsia"/>
          <w:color w:val="auto"/>
          <w:highlight w:val="none"/>
        </w:rPr>
        <w:t>，折合</w:t>
      </w:r>
      <w:r>
        <w:rPr>
          <w:color w:val="auto"/>
          <w:highlight w:val="none"/>
        </w:rPr>
        <w:t>5.3</w:t>
      </w:r>
      <w:r>
        <w:rPr>
          <w:rFonts w:hint="eastAsia"/>
          <w:color w:val="auto"/>
          <w:highlight w:val="none"/>
        </w:rPr>
        <w:t>吨</w:t>
      </w:r>
      <w:r>
        <w:rPr>
          <w:color w:val="auto"/>
          <w:highlight w:val="none"/>
        </w:rPr>
        <w:t>标准煤</w:t>
      </w:r>
      <w:r>
        <w:rPr>
          <w:rFonts w:hint="eastAsia"/>
          <w:color w:val="auto"/>
          <w:highlight w:val="none"/>
        </w:rPr>
        <w:t>。本项目年能源耗费量为</w:t>
      </w:r>
      <w:r>
        <w:rPr>
          <w:color w:val="auto"/>
          <w:highlight w:val="none"/>
        </w:rPr>
        <w:t>6.14</w:t>
      </w:r>
      <w:r>
        <w:rPr>
          <w:rFonts w:hint="eastAsia"/>
          <w:color w:val="auto"/>
          <w:highlight w:val="none"/>
        </w:rPr>
        <w:t>吨</w:t>
      </w:r>
      <w:r>
        <w:rPr>
          <w:color w:val="auto"/>
          <w:highlight w:val="none"/>
        </w:rPr>
        <w:t>标准煤</w:t>
      </w:r>
      <w:r>
        <w:rPr>
          <w:rFonts w:hint="eastAsia"/>
          <w:color w:val="auto"/>
          <w:highlight w:val="none"/>
        </w:rPr>
        <w:t>，能源消耗占比很小，本工程的实施对当地能源供应影响较小。</w:t>
      </w:r>
    </w:p>
    <w:p>
      <w:pPr>
        <w:bidi w:val="0"/>
        <w:rPr>
          <w:color w:val="auto"/>
          <w:highlight w:val="none"/>
        </w:rPr>
      </w:pPr>
      <w:r>
        <w:rPr>
          <w:rFonts w:hint="eastAsia"/>
          <w:color w:val="auto"/>
          <w:highlight w:val="none"/>
        </w:rPr>
        <w:t>广东省“十三五”煤炭消费总量控制中，“十三五”期间梅州市能源消费增量应控制在</w:t>
      </w:r>
      <w:r>
        <w:rPr>
          <w:color w:val="auto"/>
          <w:highlight w:val="none"/>
        </w:rPr>
        <w:t>83</w:t>
      </w:r>
      <w:r>
        <w:rPr>
          <w:rFonts w:hint="eastAsia"/>
          <w:color w:val="auto"/>
          <w:highlight w:val="none"/>
        </w:rPr>
        <w:t>万吨</w:t>
      </w:r>
      <w:r>
        <w:rPr>
          <w:color w:val="auto"/>
          <w:highlight w:val="none"/>
        </w:rPr>
        <w:t>标准煤</w:t>
      </w:r>
      <w:r>
        <w:rPr>
          <w:rFonts w:hint="eastAsia"/>
          <w:color w:val="auto"/>
          <w:highlight w:val="none"/>
        </w:rPr>
        <w:t>。本工程运行期每年综合能源消耗</w:t>
      </w:r>
      <w:r>
        <w:rPr>
          <w:color w:val="auto"/>
          <w:highlight w:val="none"/>
        </w:rPr>
        <w:t>6.14</w:t>
      </w:r>
      <w:r>
        <w:rPr>
          <w:rFonts w:hint="eastAsia"/>
          <w:color w:val="auto"/>
          <w:highlight w:val="none"/>
        </w:rPr>
        <w:t>吨</w:t>
      </w:r>
      <w:r>
        <w:rPr>
          <w:color w:val="auto"/>
          <w:highlight w:val="none"/>
        </w:rPr>
        <w:t>标准煤</w:t>
      </w:r>
      <w:r>
        <w:rPr>
          <w:rFonts w:hint="eastAsia"/>
          <w:color w:val="auto"/>
          <w:highlight w:val="none"/>
        </w:rPr>
        <w:t>，能源消费增量占很小。根据国家节能中心《节能评审评价指标》，可判定本项目投产后对当地的能源消费影响较小，可以实施。</w:t>
      </w:r>
    </w:p>
    <w:p>
      <w:pPr>
        <w:bidi w:val="0"/>
        <w:rPr>
          <w:rFonts w:hint="eastAsia"/>
          <w:color w:val="auto"/>
          <w:highlight w:val="none"/>
        </w:rPr>
      </w:pPr>
      <w:r>
        <w:rPr>
          <w:rFonts w:hint="eastAsia"/>
          <w:color w:val="auto"/>
          <w:highlight w:val="none"/>
        </w:rPr>
        <w:t>本工程从设计理念、工程布置、设备选用、施工组织设计等多个方面已进行了优化设计、选用了符合国家政策的先进节能设备。在施工组织设计中，合理选用了节能型施工机械，并合理安排了工期和施工次序，符合我国固定资产投资项目节能设计要求。</w:t>
      </w:r>
    </w:p>
    <w:p>
      <w:pPr>
        <w:pStyle w:val="2"/>
        <w:rPr>
          <w:rFonts w:hint="eastAsia"/>
          <w:color w:val="auto"/>
          <w:highlight w:val="none"/>
          <w:lang w:val="en-US" w:eastAsia="zh-CN"/>
        </w:rPr>
      </w:pPr>
    </w:p>
    <w:p>
      <w:pPr>
        <w:pStyle w:val="4"/>
        <w:bidi w:val="0"/>
        <w:rPr>
          <w:rFonts w:hint="eastAsia"/>
          <w:color w:val="auto"/>
          <w:highlight w:val="none"/>
          <w:lang w:val="en-US" w:eastAsia="zh-CN"/>
        </w:rPr>
      </w:pPr>
      <w:bookmarkStart w:id="76" w:name="_Toc609792171"/>
      <w:r>
        <w:rPr>
          <w:rFonts w:hint="eastAsia"/>
          <w:color w:val="auto"/>
          <w:highlight w:val="none"/>
          <w:lang w:val="en-US" w:eastAsia="zh-CN"/>
        </w:rPr>
        <w:t>1.13工程管理</w:t>
      </w:r>
      <w:bookmarkEnd w:id="76"/>
    </w:p>
    <w:p>
      <w:pPr>
        <w:pStyle w:val="5"/>
        <w:bidi w:val="0"/>
        <w:rPr>
          <w:color w:val="auto"/>
          <w:highlight w:val="none"/>
        </w:rPr>
      </w:pPr>
      <w:bookmarkStart w:id="77" w:name="_Toc116672288"/>
      <w:bookmarkStart w:id="78" w:name="_Toc592299287_WPSOffice_Level1"/>
      <w:r>
        <w:rPr>
          <w:rFonts w:hint="eastAsia"/>
          <w:color w:val="auto"/>
          <w:highlight w:val="none"/>
          <w:lang w:val="en-US" w:eastAsia="zh-CN"/>
        </w:rPr>
        <w:t>1.</w:t>
      </w:r>
      <w:r>
        <w:rPr>
          <w:color w:val="auto"/>
          <w:highlight w:val="none"/>
        </w:rPr>
        <w:t xml:space="preserve">13.1 </w:t>
      </w:r>
      <w:r>
        <w:rPr>
          <w:rFonts w:hint="eastAsia"/>
          <w:color w:val="auto"/>
          <w:highlight w:val="none"/>
        </w:rPr>
        <w:t>管理机构及人员编制</w:t>
      </w:r>
      <w:bookmarkEnd w:id="77"/>
      <w:bookmarkEnd w:id="78"/>
    </w:p>
    <w:p>
      <w:pPr>
        <w:bidi w:val="0"/>
        <w:rPr>
          <w:color w:val="auto"/>
          <w:highlight w:val="none"/>
        </w:rPr>
      </w:pPr>
      <w:r>
        <w:rPr>
          <w:rFonts w:hint="eastAsia"/>
          <w:color w:val="auto"/>
          <w:highlight w:val="none"/>
        </w:rPr>
        <w:t>洋坑水库为小（一）型水库，水库</w:t>
      </w:r>
      <w:r>
        <w:rPr>
          <w:color w:val="auto"/>
          <w:highlight w:val="none"/>
        </w:rPr>
        <w:t>主管部门为</w:t>
      </w:r>
      <w:r>
        <w:rPr>
          <w:rFonts w:hint="eastAsia"/>
          <w:color w:val="auto"/>
          <w:highlight w:val="none"/>
        </w:rPr>
        <w:t>丰顺县水务局，水库安全管理责任主体为建桥镇人民政府，</w:t>
      </w:r>
      <w:r>
        <w:rPr>
          <w:color w:val="auto"/>
          <w:highlight w:val="none"/>
        </w:rPr>
        <w:t>运行管理机构为</w:t>
      </w:r>
      <w:r>
        <w:rPr>
          <w:rFonts w:hint="eastAsia"/>
          <w:color w:val="auto"/>
          <w:highlight w:val="none"/>
        </w:rPr>
        <w:t>建桥镇农业服务中心</w:t>
      </w:r>
      <w:r>
        <w:rPr>
          <w:color w:val="auto"/>
          <w:highlight w:val="none"/>
        </w:rPr>
        <w:t>，</w:t>
      </w:r>
      <w:r>
        <w:rPr>
          <w:rFonts w:hint="eastAsia"/>
          <w:color w:val="auto"/>
          <w:highlight w:val="none"/>
        </w:rPr>
        <w:t>水库</w:t>
      </w:r>
      <w:r>
        <w:rPr>
          <w:color w:val="auto"/>
          <w:highlight w:val="none"/>
        </w:rPr>
        <w:t>日常运行管理</w:t>
      </w:r>
      <w:r>
        <w:rPr>
          <w:rFonts w:hint="eastAsia"/>
          <w:color w:val="auto"/>
          <w:highlight w:val="none"/>
        </w:rPr>
        <w:t>、巡查由镇政府指派水库所在村委的干部负责</w:t>
      </w:r>
      <w:r>
        <w:rPr>
          <w:color w:val="auto"/>
          <w:highlight w:val="none"/>
        </w:rPr>
        <w:t>。</w:t>
      </w:r>
      <w:r>
        <w:rPr>
          <w:rFonts w:hint="eastAsia"/>
          <w:color w:val="auto"/>
          <w:highlight w:val="none"/>
        </w:rPr>
        <w:t>因本次水库除险加固未改变水库现有规模，故</w:t>
      </w:r>
      <w:r>
        <w:rPr>
          <w:color w:val="auto"/>
          <w:highlight w:val="none"/>
        </w:rPr>
        <w:t>不新设管理机构，不新增岗位人员</w:t>
      </w:r>
      <w:r>
        <w:rPr>
          <w:rFonts w:hint="eastAsia"/>
          <w:color w:val="auto"/>
          <w:highlight w:val="none"/>
        </w:rPr>
        <w:t>。管养房沿用现有管养房，现有管养房装修维护后继续使用。</w:t>
      </w:r>
    </w:p>
    <w:p>
      <w:pPr>
        <w:bidi w:val="0"/>
        <w:rPr>
          <w:rFonts w:hint="eastAsia"/>
          <w:color w:val="auto"/>
          <w:highlight w:val="none"/>
        </w:rPr>
      </w:pPr>
      <w:r>
        <w:rPr>
          <w:rFonts w:hint="eastAsia"/>
          <w:color w:val="auto"/>
          <w:highlight w:val="none"/>
        </w:rPr>
        <w:t>根据工程的等别及水库的具体情况，管理人员编制按2人，负责水库的日常维护运行。工程管理实行正规化、制度化、规范化管理，以确保工程正常运行。每年按规定收取灌溉水费作为工程运行费(工作人员的工资、福利费、办公费、防洪设施的正常维护修理费等)的主要来源，由地方镇政府统一发放。参照水利部、财政部颁布的《水利工程维修养护定额标准（试点）》，工程基本维修养护费约</w:t>
      </w:r>
      <w:r>
        <w:rPr>
          <w:color w:val="auto"/>
          <w:highlight w:val="none"/>
        </w:rPr>
        <w:t>14.52</w:t>
      </w:r>
      <w:r>
        <w:rPr>
          <w:rFonts w:hint="eastAsia"/>
          <w:color w:val="auto"/>
          <w:highlight w:val="none"/>
        </w:rPr>
        <w:t>万元/年，严格资金管理，维修养护经费要做到专款专用，严禁挪作他用。洪水等重大险情造成的工程修复及工程抢险费用、水利工程更新改造费用及其它专项费用另行申报和核定。</w:t>
      </w:r>
    </w:p>
    <w:p>
      <w:pPr>
        <w:pStyle w:val="5"/>
        <w:bidi w:val="0"/>
        <w:rPr>
          <w:color w:val="auto"/>
          <w:highlight w:val="none"/>
        </w:rPr>
      </w:pPr>
      <w:bookmarkStart w:id="79" w:name="_Toc24679893"/>
      <w:bookmarkStart w:id="80" w:name="_Toc24680460"/>
      <w:bookmarkStart w:id="81" w:name="_Toc24681089"/>
      <w:bookmarkStart w:id="82" w:name="_Toc24680693"/>
      <w:bookmarkStart w:id="83" w:name="_Toc118798120"/>
      <w:bookmarkStart w:id="84" w:name="_Toc454207376_WPSOffice_Level1"/>
      <w:bookmarkStart w:id="85" w:name="_Toc118453767"/>
      <w:bookmarkStart w:id="86" w:name="_Toc116672289"/>
      <w:bookmarkStart w:id="87" w:name="_Toc24680834"/>
      <w:r>
        <w:rPr>
          <w:rFonts w:hint="eastAsia"/>
          <w:color w:val="auto"/>
          <w:highlight w:val="none"/>
          <w:lang w:val="en-US" w:eastAsia="zh-CN"/>
        </w:rPr>
        <w:t>1.</w:t>
      </w:r>
      <w:r>
        <w:rPr>
          <w:color w:val="auto"/>
          <w:highlight w:val="none"/>
        </w:rPr>
        <w:t>13.2 工程管理范围和保护范围</w:t>
      </w:r>
      <w:bookmarkEnd w:id="79"/>
      <w:bookmarkEnd w:id="80"/>
      <w:bookmarkEnd w:id="81"/>
      <w:bookmarkEnd w:id="82"/>
      <w:bookmarkEnd w:id="83"/>
      <w:bookmarkEnd w:id="84"/>
      <w:bookmarkEnd w:id="85"/>
      <w:bookmarkEnd w:id="86"/>
      <w:bookmarkEnd w:id="87"/>
    </w:p>
    <w:p>
      <w:pPr>
        <w:ind w:firstLine="480"/>
        <w:rPr>
          <w:color w:val="auto"/>
          <w:highlight w:val="none"/>
        </w:rPr>
      </w:pPr>
      <w:r>
        <w:rPr>
          <w:rFonts w:hint="eastAsia"/>
          <w:color w:val="auto"/>
          <w:highlight w:val="none"/>
        </w:rPr>
        <w:t>为确保工程管理界限分明，便于管理，根据工程管理和安全的需要，确定本工程的管理范围和保护范围如下：</w:t>
      </w:r>
    </w:p>
    <w:p>
      <w:pPr>
        <w:ind w:firstLine="480"/>
        <w:rPr>
          <w:rFonts w:hint="eastAsia"/>
          <w:color w:val="auto"/>
          <w:highlight w:val="none"/>
        </w:rPr>
      </w:pPr>
      <w:r>
        <w:rPr>
          <w:color w:val="auto"/>
          <w:highlight w:val="none"/>
        </w:rPr>
        <w:t>工程管理范围：</w:t>
      </w:r>
      <w:r>
        <w:rPr>
          <w:rFonts w:hint="eastAsia"/>
          <w:color w:val="auto"/>
          <w:highlight w:val="none"/>
        </w:rPr>
        <w:t>库区为坝顶高程线2</w:t>
      </w:r>
      <w:r>
        <w:rPr>
          <w:color w:val="auto"/>
          <w:highlight w:val="none"/>
        </w:rPr>
        <w:t>31</w:t>
      </w:r>
      <w:r>
        <w:rPr>
          <w:rFonts w:hint="eastAsia"/>
          <w:color w:val="auto"/>
          <w:highlight w:val="none"/>
        </w:rPr>
        <w:t>米以下土地和水域；坝区包括大坝、溢洪道、输水涵及电站厂房的占地范围及其周边外延1</w:t>
      </w:r>
      <w:r>
        <w:rPr>
          <w:color w:val="auto"/>
          <w:highlight w:val="none"/>
        </w:rPr>
        <w:t>0m</w:t>
      </w:r>
      <w:r>
        <w:rPr>
          <w:rFonts w:hint="eastAsia"/>
          <w:color w:val="auto"/>
          <w:highlight w:val="none"/>
        </w:rPr>
        <w:t>的范围；生产、生活区范围也属于工程管理范围。</w:t>
      </w:r>
    </w:p>
    <w:p>
      <w:pPr>
        <w:ind w:firstLine="480"/>
        <w:rPr>
          <w:rFonts w:hint="eastAsia"/>
          <w:color w:val="auto"/>
          <w:highlight w:val="none"/>
        </w:rPr>
      </w:pPr>
      <w:r>
        <w:rPr>
          <w:rFonts w:hint="eastAsia"/>
          <w:color w:val="auto"/>
          <w:highlight w:val="none"/>
        </w:rPr>
        <w:t>工程保护范围：根据《水库工程管理设计规范》S</w:t>
      </w:r>
      <w:r>
        <w:rPr>
          <w:color w:val="auto"/>
          <w:highlight w:val="none"/>
        </w:rPr>
        <w:t>L106-2017</w:t>
      </w:r>
      <w:r>
        <w:rPr>
          <w:rFonts w:hint="eastAsia"/>
          <w:color w:val="auto"/>
          <w:highlight w:val="none"/>
        </w:rPr>
        <w:t>第3</w:t>
      </w:r>
      <w:r>
        <w:rPr>
          <w:color w:val="auto"/>
          <w:highlight w:val="none"/>
        </w:rPr>
        <w:t>.0.4</w:t>
      </w:r>
      <w:r>
        <w:rPr>
          <w:rFonts w:hint="eastAsia"/>
          <w:color w:val="auto"/>
          <w:highlight w:val="none"/>
        </w:rPr>
        <w:t>条，在工程管理范围边界线外延5</w:t>
      </w:r>
      <w:r>
        <w:rPr>
          <w:color w:val="auto"/>
          <w:highlight w:val="none"/>
        </w:rPr>
        <w:t>0m</w:t>
      </w:r>
      <w:r>
        <w:rPr>
          <w:rFonts w:hint="eastAsia"/>
          <w:color w:val="auto"/>
          <w:highlight w:val="none"/>
        </w:rPr>
        <w:t>，工程保护范围内的土地不征用。</w:t>
      </w:r>
    </w:p>
    <w:p>
      <w:pPr>
        <w:ind w:firstLine="480"/>
        <w:rPr>
          <w:color w:val="auto"/>
          <w:highlight w:val="none"/>
        </w:rPr>
      </w:pPr>
      <w:r>
        <w:rPr>
          <w:rFonts w:hint="eastAsia"/>
          <w:color w:val="auto"/>
          <w:highlight w:val="none"/>
        </w:rPr>
        <w:t>水库</w:t>
      </w:r>
      <w:r>
        <w:rPr>
          <w:color w:val="auto"/>
          <w:highlight w:val="none"/>
        </w:rPr>
        <w:t>保护范围：</w:t>
      </w:r>
      <w:r>
        <w:rPr>
          <w:rFonts w:hint="eastAsia"/>
          <w:color w:val="auto"/>
          <w:highlight w:val="none"/>
        </w:rPr>
        <w:t>根据《水库工程管理设计规范》S</w:t>
      </w:r>
      <w:r>
        <w:rPr>
          <w:color w:val="auto"/>
          <w:highlight w:val="none"/>
        </w:rPr>
        <w:t>L106-2017</w:t>
      </w:r>
      <w:r>
        <w:rPr>
          <w:rFonts w:hint="eastAsia"/>
          <w:color w:val="auto"/>
          <w:highlight w:val="none"/>
        </w:rPr>
        <w:t>第3</w:t>
      </w:r>
      <w:r>
        <w:rPr>
          <w:color w:val="auto"/>
          <w:highlight w:val="none"/>
        </w:rPr>
        <w:t>.0.4</w:t>
      </w:r>
      <w:r>
        <w:rPr>
          <w:rFonts w:hint="eastAsia"/>
          <w:color w:val="auto"/>
          <w:highlight w:val="none"/>
        </w:rPr>
        <w:t>条，由坝址以上，库区两岸管理范围线以上至第一道分水岭脊线之间的土地</w:t>
      </w:r>
      <w:r>
        <w:rPr>
          <w:color w:val="auto"/>
          <w:highlight w:val="none"/>
        </w:rPr>
        <w:t>。</w:t>
      </w:r>
    </w:p>
    <w:p>
      <w:pPr>
        <w:pStyle w:val="2"/>
        <w:rPr>
          <w:rFonts w:hint="eastAsia"/>
          <w:color w:val="auto"/>
          <w:highlight w:val="none"/>
        </w:rPr>
      </w:pPr>
      <w:r>
        <w:rPr>
          <w:rFonts w:hint="eastAsia"/>
          <w:color w:val="auto"/>
          <w:highlight w:val="none"/>
        </w:rPr>
        <w:t>洋坑水库目前已完成管理范围的立桩、划界。</w:t>
      </w:r>
    </w:p>
    <w:p>
      <w:pPr>
        <w:pStyle w:val="5"/>
        <w:bidi w:val="0"/>
        <w:rPr>
          <w:color w:val="auto"/>
          <w:highlight w:val="none"/>
        </w:rPr>
      </w:pPr>
      <w:r>
        <w:rPr>
          <w:rFonts w:hint="eastAsia"/>
          <w:color w:val="auto"/>
          <w:highlight w:val="none"/>
          <w:lang w:val="en-US" w:eastAsia="zh-CN"/>
        </w:rPr>
        <w:t>1.13.3</w:t>
      </w:r>
      <w:r>
        <w:rPr>
          <w:color w:val="auto"/>
          <w:highlight w:val="none"/>
        </w:rPr>
        <w:t>管理设施</w:t>
      </w:r>
      <w:r>
        <w:rPr>
          <w:rFonts w:hint="eastAsia"/>
          <w:color w:val="auto"/>
          <w:highlight w:val="none"/>
        </w:rPr>
        <w:t>与设备</w:t>
      </w:r>
    </w:p>
    <w:p>
      <w:pPr>
        <w:ind w:firstLine="480"/>
        <w:rPr>
          <w:rFonts w:hint="eastAsia"/>
          <w:color w:val="auto"/>
          <w:highlight w:val="none"/>
        </w:rPr>
      </w:pPr>
      <w:r>
        <w:rPr>
          <w:rFonts w:hint="eastAsia"/>
          <w:color w:val="auto"/>
          <w:highlight w:val="none"/>
        </w:rPr>
        <w:t>根据《广东省水利厅关于落实病险水库除险加固工作中几项重要内容的通知》（粤水运管函〔2021〕1318 号）的要求，为汲取近期国内水库失事教训， 应对极端异常天气和超标准洪水，科学实施病险水库除险加固，确保水库安全运行底线，按照水利部相关要求，病险水库除险加固工作中要秉持“建管并重”的理念，切实提高除险加固前期工作质量，初步设计方案要同步落实各项水库建后管护设施建设。防汛道路、管理用房、雨水情测报设施、安全监测设施、标识标牌、界桩、防汛物资等管护设施应同期实施，同步验收。按照广东省小型水库安全运行管理标准化工作指引（试行）有关规定执行。</w:t>
      </w:r>
    </w:p>
    <w:p>
      <w:pPr>
        <w:pStyle w:val="5"/>
        <w:bidi w:val="0"/>
        <w:rPr>
          <w:color w:val="auto"/>
          <w:highlight w:val="none"/>
        </w:rPr>
      </w:pPr>
      <w:r>
        <w:rPr>
          <w:rFonts w:hint="eastAsia"/>
          <w:color w:val="auto"/>
          <w:highlight w:val="none"/>
          <w:lang w:val="en-US" w:eastAsia="zh-CN"/>
        </w:rPr>
        <w:t>1.13.4</w:t>
      </w:r>
      <w:r>
        <w:rPr>
          <w:color w:val="auto"/>
          <w:highlight w:val="none"/>
        </w:rPr>
        <w:t>防汛</w:t>
      </w:r>
      <w:r>
        <w:rPr>
          <w:rFonts w:hint="eastAsia"/>
          <w:color w:val="auto"/>
          <w:highlight w:val="none"/>
        </w:rPr>
        <w:t>备汛</w:t>
      </w:r>
    </w:p>
    <w:p>
      <w:pPr>
        <w:bidi w:val="0"/>
        <w:rPr>
          <w:rFonts w:hint="eastAsia"/>
          <w:color w:val="auto"/>
          <w:highlight w:val="none"/>
        </w:rPr>
      </w:pPr>
      <w:r>
        <w:rPr>
          <w:rFonts w:hint="eastAsia"/>
          <w:color w:val="auto"/>
          <w:highlight w:val="none"/>
        </w:rPr>
        <w:t>小型水库应根据工程实际设置汛限水位，并逐级上报各级水利部门备案。水库主管部门或管理单位对设计洪水、工程状况等发生变化需要调整汛限水位的水库，经研究论证提出汛限水位调整意见，报有审批权限单位批准；汛限水位有调整的，应于调整后1个月内上报有管辖权的监督管理单位。洋坑水库汛限水位为</w:t>
      </w:r>
      <w:r>
        <w:rPr>
          <w:color w:val="auto"/>
          <w:highlight w:val="none"/>
        </w:rPr>
        <w:t>223.8</w:t>
      </w:r>
      <w:r>
        <w:rPr>
          <w:rFonts w:hint="eastAsia"/>
          <w:color w:val="auto"/>
          <w:highlight w:val="none"/>
        </w:rPr>
        <w:t>m。</w:t>
      </w:r>
    </w:p>
    <w:p>
      <w:pPr>
        <w:bidi w:val="0"/>
        <w:rPr>
          <w:rFonts w:hint="eastAsia"/>
          <w:color w:val="auto"/>
          <w:highlight w:val="none"/>
        </w:rPr>
      </w:pPr>
      <w:r>
        <w:rPr>
          <w:rFonts w:hint="eastAsia"/>
          <w:color w:val="auto"/>
          <w:highlight w:val="none"/>
        </w:rPr>
        <w:t>在汛期应严格控制库水位运行，科学调度，严禁擅自超汛限水位运行。</w:t>
      </w:r>
    </w:p>
    <w:p>
      <w:pPr>
        <w:bidi w:val="0"/>
        <w:rPr>
          <w:rFonts w:hint="eastAsia"/>
          <w:color w:val="auto"/>
          <w:highlight w:val="none"/>
        </w:rPr>
      </w:pPr>
      <w:r>
        <w:rPr>
          <w:rFonts w:hint="eastAsia"/>
          <w:color w:val="auto"/>
          <w:highlight w:val="none"/>
        </w:rPr>
        <w:t>小型水库应做好汛限水位标识，可采用涂红色的不锈钢条、PVC板条等材料（宽度不小于10cm），并安装在大坝迎水坡或水位桩尺对应汛限水位的位置，且应在监控设备可以识别的范围内。</w:t>
      </w:r>
    </w:p>
    <w:p>
      <w:pPr>
        <w:bidi w:val="0"/>
        <w:rPr>
          <w:rFonts w:hint="eastAsia"/>
          <w:color w:val="auto"/>
          <w:highlight w:val="none"/>
        </w:rPr>
      </w:pPr>
      <w:r>
        <w:rPr>
          <w:rFonts w:hint="eastAsia"/>
          <w:color w:val="auto"/>
          <w:highlight w:val="none"/>
        </w:rPr>
        <w:t>防汛物资应摆放整齐、堆砌平整，并在周边设置标识标牌。防汛砂石料靠近管养房储于大坝右侧坝端砂库、石库内，所建料库容积与所储物料相应，约为长1</w:t>
      </w:r>
      <w:r>
        <w:rPr>
          <w:color w:val="auto"/>
          <w:highlight w:val="none"/>
        </w:rPr>
        <w:t>5</w:t>
      </w:r>
      <w:r>
        <w:rPr>
          <w:rFonts w:hint="eastAsia"/>
          <w:color w:val="auto"/>
          <w:highlight w:val="none"/>
        </w:rPr>
        <w:t>m，宽10m，高2.5m，需建2个，砂石料、块石分别堆放。其他防汛物资储于管理房内。</w:t>
      </w:r>
    </w:p>
    <w:p>
      <w:pPr>
        <w:bidi w:val="0"/>
        <w:rPr>
          <w:rFonts w:hint="eastAsia"/>
          <w:color w:val="auto"/>
          <w:highlight w:val="none"/>
        </w:rPr>
      </w:pPr>
      <w:r>
        <w:rPr>
          <w:rFonts w:hint="eastAsia"/>
          <w:color w:val="auto"/>
          <w:highlight w:val="none"/>
        </w:rPr>
        <w:t>管理单位应建立物资出入库管理台账，明确各类物资的规格（品种）、数量及质保期。对不符合要求的防汛物资应及时清理并更新。</w:t>
      </w:r>
    </w:p>
    <w:p>
      <w:pPr>
        <w:pStyle w:val="2"/>
        <w:rPr>
          <w:rFonts w:hint="eastAsia"/>
          <w:color w:val="auto"/>
          <w:highlight w:val="none"/>
          <w:lang w:val="en-US" w:eastAsia="zh-CN"/>
        </w:rPr>
      </w:pPr>
    </w:p>
    <w:p>
      <w:pPr>
        <w:pStyle w:val="4"/>
        <w:bidi w:val="0"/>
        <w:rPr>
          <w:rFonts w:hint="eastAsia"/>
          <w:color w:val="auto"/>
          <w:highlight w:val="none"/>
          <w:lang w:val="en-US" w:eastAsia="zh-CN"/>
        </w:rPr>
      </w:pPr>
      <w:bookmarkStart w:id="88" w:name="_Toc54625141"/>
      <w:r>
        <w:rPr>
          <w:rFonts w:hint="eastAsia"/>
          <w:color w:val="auto"/>
          <w:highlight w:val="none"/>
          <w:lang w:val="en-US" w:eastAsia="zh-CN"/>
        </w:rPr>
        <w:t>1.14工程信息化</w:t>
      </w:r>
      <w:bookmarkEnd w:id="88"/>
    </w:p>
    <w:p>
      <w:pPr>
        <w:bidi w:val="0"/>
        <w:rPr>
          <w:color w:val="auto"/>
          <w:highlight w:val="none"/>
        </w:rPr>
      </w:pPr>
      <w:r>
        <w:rPr>
          <w:color w:val="auto"/>
          <w:highlight w:val="none"/>
        </w:rPr>
        <w:t>小型水库安全运行管理标准化工作主要概括为“四个落实、三个规范、两个创新、一个美化”，即落实管理责任、落实管养经费、落实管护人员、落实管理与保护范围，规范工作制度、规范管理设施、规范标识标牌，创新管理手段、创新管养模式，美化水库环境。基本实现职责明确、机制完善、制度健全、管理规范、监督有力的小型水库安全运行管理新局面。</w:t>
      </w:r>
    </w:p>
    <w:p>
      <w:pPr>
        <w:bidi w:val="0"/>
        <w:rPr>
          <w:color w:val="auto"/>
          <w:highlight w:val="none"/>
        </w:rPr>
      </w:pPr>
      <w:r>
        <w:rPr>
          <w:color w:val="auto"/>
          <w:highlight w:val="none"/>
        </w:rPr>
        <w:t>本工程主要为针对长坑水库完善规章制度、提升坝容坝貌以及增设“三要素”、“四要素”视频监控系统。</w:t>
      </w:r>
    </w:p>
    <w:p>
      <w:pPr>
        <w:rPr>
          <w:color w:val="auto"/>
          <w:highlight w:val="none"/>
        </w:rPr>
      </w:pPr>
      <w:r>
        <w:rPr>
          <w:color w:val="auto"/>
          <w:highlight w:val="none"/>
        </w:rPr>
        <w:t>并以此为基础平台，以二三维地理信息引擎为核心，将各个水库连接起来，提供强大的集成和大数据承载能力，集成水文监测、水质在线监测、气象监测、视频监控、闸门远程控制系统等系统功能。</w:t>
      </w:r>
    </w:p>
    <w:p>
      <w:pPr>
        <w:pStyle w:val="17"/>
        <w:rPr>
          <w:rFonts w:hint="eastAsia"/>
          <w:color w:val="auto"/>
          <w:highlight w:val="none"/>
          <w:lang w:val="en-US" w:eastAsia="zh-CN"/>
        </w:rPr>
      </w:pPr>
    </w:p>
    <w:p>
      <w:pPr>
        <w:pStyle w:val="4"/>
        <w:bidi w:val="0"/>
        <w:rPr>
          <w:rFonts w:hint="eastAsia"/>
          <w:color w:val="auto"/>
          <w:highlight w:val="none"/>
          <w:lang w:val="en-US" w:eastAsia="zh-CN"/>
        </w:rPr>
      </w:pPr>
      <w:bookmarkStart w:id="89" w:name="_Toc571270099"/>
      <w:r>
        <w:rPr>
          <w:rFonts w:hint="eastAsia"/>
          <w:color w:val="auto"/>
          <w:highlight w:val="none"/>
          <w:lang w:val="en-US" w:eastAsia="zh-CN"/>
        </w:rPr>
        <w:t>1.15投资概算（单行本）</w:t>
      </w:r>
      <w:bookmarkEnd w:id="89"/>
    </w:p>
    <w:p>
      <w:pPr>
        <w:autoSpaceDE w:val="0"/>
        <w:autoSpaceDN w:val="0"/>
        <w:adjustRightInd w:val="0"/>
        <w:spacing w:line="540" w:lineRule="atLeast"/>
        <w:ind w:firstLine="480" w:firstLineChars="200"/>
        <w:rPr>
          <w:rFonts w:hint="eastAsia"/>
          <w:color w:val="auto"/>
          <w:sz w:val="24"/>
          <w:highlight w:val="none"/>
        </w:rPr>
      </w:pPr>
      <w:r>
        <w:rPr>
          <w:rFonts w:hint="eastAsia"/>
          <w:color w:val="auto"/>
          <w:sz w:val="24"/>
          <w:highlight w:val="none"/>
        </w:rPr>
        <w:t>工程总投资</w:t>
      </w:r>
      <w:r>
        <w:rPr>
          <w:rFonts w:hint="eastAsia"/>
          <w:color w:val="auto"/>
          <w:sz w:val="24"/>
          <w:highlight w:val="none"/>
          <w:lang w:val="en-US" w:eastAsia="zh-CN"/>
        </w:rPr>
        <w:t>1579.39</w:t>
      </w:r>
      <w:r>
        <w:rPr>
          <w:rFonts w:hint="eastAsia"/>
          <w:color w:val="auto"/>
          <w:sz w:val="24"/>
          <w:highlight w:val="none"/>
        </w:rPr>
        <w:t>万元。</w:t>
      </w:r>
    </w:p>
    <w:p>
      <w:pPr>
        <w:autoSpaceDE w:val="0"/>
        <w:autoSpaceDN w:val="0"/>
        <w:adjustRightInd w:val="0"/>
        <w:spacing w:line="540" w:lineRule="atLeast"/>
        <w:ind w:firstLine="480" w:firstLineChars="200"/>
        <w:rPr>
          <w:rFonts w:hint="eastAsia" w:eastAsia="宋体"/>
          <w:color w:val="auto"/>
          <w:sz w:val="24"/>
          <w:highlight w:val="none"/>
          <w:lang w:eastAsia="zh-CN"/>
        </w:rPr>
      </w:pPr>
      <w:r>
        <w:rPr>
          <w:color w:val="auto"/>
          <w:sz w:val="24"/>
          <w:highlight w:val="none"/>
        </w:rPr>
        <w:t>工程</w:t>
      </w:r>
      <w:r>
        <w:rPr>
          <w:rFonts w:hint="eastAsia"/>
          <w:color w:val="auto"/>
          <w:sz w:val="24"/>
          <w:highlight w:val="none"/>
        </w:rPr>
        <w:t>部分</w:t>
      </w:r>
      <w:r>
        <w:rPr>
          <w:color w:val="auto"/>
          <w:sz w:val="24"/>
          <w:highlight w:val="none"/>
        </w:rPr>
        <w:t>投资</w:t>
      </w:r>
      <w:r>
        <w:rPr>
          <w:rFonts w:hint="eastAsia"/>
          <w:color w:val="auto"/>
          <w:sz w:val="24"/>
          <w:highlight w:val="none"/>
          <w:lang w:val="en-US" w:eastAsia="zh-CN"/>
        </w:rPr>
        <w:t>1504.40</w:t>
      </w:r>
      <w:r>
        <w:rPr>
          <w:color w:val="auto"/>
          <w:sz w:val="24"/>
          <w:highlight w:val="none"/>
        </w:rPr>
        <w:t>万元</w:t>
      </w:r>
      <w:r>
        <w:rPr>
          <w:rFonts w:hint="eastAsia"/>
          <w:color w:val="auto"/>
          <w:sz w:val="24"/>
          <w:highlight w:val="none"/>
        </w:rPr>
        <w:t>。</w:t>
      </w:r>
      <w:r>
        <w:rPr>
          <w:color w:val="auto"/>
          <w:sz w:val="24"/>
          <w:highlight w:val="none"/>
        </w:rPr>
        <w:t>其中：建筑工程投资</w:t>
      </w:r>
      <w:r>
        <w:rPr>
          <w:rFonts w:hint="eastAsia"/>
          <w:color w:val="auto"/>
          <w:sz w:val="24"/>
          <w:highlight w:val="none"/>
          <w:lang w:val="en-US" w:eastAsia="zh-CN"/>
        </w:rPr>
        <w:t>1102.64</w:t>
      </w:r>
      <w:r>
        <w:rPr>
          <w:color w:val="auto"/>
          <w:sz w:val="24"/>
          <w:highlight w:val="none"/>
        </w:rPr>
        <w:t>万元，</w:t>
      </w:r>
      <w:r>
        <w:rPr>
          <w:rFonts w:hint="eastAsia"/>
          <w:color w:val="auto"/>
          <w:sz w:val="24"/>
          <w:highlight w:val="none"/>
        </w:rPr>
        <w:t>机电设备及安装工程</w:t>
      </w:r>
      <w:r>
        <w:rPr>
          <w:rFonts w:hint="eastAsia"/>
          <w:color w:val="auto"/>
          <w:sz w:val="24"/>
          <w:highlight w:val="none"/>
          <w:lang w:val="en-US" w:eastAsia="zh-CN"/>
        </w:rPr>
        <w:t>投资19.98</w:t>
      </w:r>
      <w:r>
        <w:rPr>
          <w:color w:val="auto"/>
          <w:sz w:val="24"/>
          <w:highlight w:val="none"/>
        </w:rPr>
        <w:t>万元，</w:t>
      </w:r>
      <w:r>
        <w:rPr>
          <w:rFonts w:hint="eastAsia"/>
          <w:color w:val="auto"/>
          <w:sz w:val="24"/>
          <w:highlight w:val="none"/>
        </w:rPr>
        <w:t>金属结构设备及安装工程</w:t>
      </w:r>
      <w:r>
        <w:rPr>
          <w:rFonts w:hint="eastAsia"/>
          <w:color w:val="auto"/>
          <w:sz w:val="24"/>
          <w:highlight w:val="none"/>
          <w:lang w:val="en-US" w:eastAsia="zh-CN"/>
        </w:rPr>
        <w:t>投资7.20万元，施工临时工程投资55.89万元，</w:t>
      </w:r>
      <w:r>
        <w:rPr>
          <w:color w:val="auto"/>
          <w:sz w:val="24"/>
          <w:highlight w:val="none"/>
        </w:rPr>
        <w:t>独立费用</w:t>
      </w:r>
      <w:r>
        <w:rPr>
          <w:rFonts w:hint="eastAsia"/>
          <w:color w:val="auto"/>
          <w:sz w:val="24"/>
          <w:highlight w:val="none"/>
          <w:lang w:val="en-US" w:eastAsia="zh-CN"/>
        </w:rPr>
        <w:t>247.05</w:t>
      </w:r>
      <w:r>
        <w:rPr>
          <w:color w:val="auto"/>
          <w:sz w:val="24"/>
          <w:highlight w:val="none"/>
        </w:rPr>
        <w:t>万元，基本预备费</w:t>
      </w:r>
      <w:r>
        <w:rPr>
          <w:rFonts w:hint="eastAsia"/>
          <w:color w:val="auto"/>
          <w:sz w:val="24"/>
          <w:highlight w:val="none"/>
          <w:lang w:val="en-US" w:eastAsia="zh-CN"/>
        </w:rPr>
        <w:t>71.64</w:t>
      </w:r>
      <w:r>
        <w:rPr>
          <w:color w:val="auto"/>
          <w:sz w:val="24"/>
          <w:highlight w:val="none"/>
        </w:rPr>
        <w:t>万元</w:t>
      </w:r>
      <w:r>
        <w:rPr>
          <w:rFonts w:hint="eastAsia"/>
          <w:color w:val="auto"/>
          <w:sz w:val="24"/>
          <w:highlight w:val="none"/>
          <w:lang w:eastAsia="zh-CN"/>
        </w:rPr>
        <w:t>。</w:t>
      </w:r>
    </w:p>
    <w:p>
      <w:pPr>
        <w:autoSpaceDE w:val="0"/>
        <w:autoSpaceDN w:val="0"/>
        <w:adjustRightInd w:val="0"/>
        <w:spacing w:line="540" w:lineRule="atLeast"/>
        <w:ind w:firstLine="480" w:firstLineChars="200"/>
        <w:rPr>
          <w:color w:val="auto"/>
          <w:sz w:val="24"/>
          <w:highlight w:val="none"/>
        </w:rPr>
      </w:pPr>
      <w:r>
        <w:rPr>
          <w:rFonts w:hint="eastAsia"/>
          <w:color w:val="auto"/>
          <w:sz w:val="24"/>
          <w:highlight w:val="none"/>
        </w:rPr>
        <w:t>专项工程投资</w:t>
      </w:r>
      <w:r>
        <w:rPr>
          <w:rFonts w:hint="eastAsia"/>
          <w:color w:val="auto"/>
          <w:sz w:val="24"/>
          <w:highlight w:val="none"/>
          <w:lang w:val="en-US" w:eastAsia="zh-CN"/>
        </w:rPr>
        <w:t>74.99</w:t>
      </w:r>
      <w:r>
        <w:rPr>
          <w:rFonts w:hint="eastAsia"/>
          <w:color w:val="auto"/>
          <w:sz w:val="24"/>
          <w:highlight w:val="none"/>
        </w:rPr>
        <w:t>万元。其中</w:t>
      </w:r>
      <w:r>
        <w:rPr>
          <w:rFonts w:hint="eastAsia"/>
          <w:color w:val="auto"/>
          <w:sz w:val="24"/>
          <w:highlight w:val="none"/>
          <w:lang w:eastAsia="zh-CN"/>
        </w:rPr>
        <w:t>：</w:t>
      </w:r>
      <w:r>
        <w:rPr>
          <w:rFonts w:hint="eastAsia"/>
          <w:bCs/>
          <w:color w:val="auto"/>
          <w:sz w:val="24"/>
          <w:highlight w:val="none"/>
          <w:lang w:val="en-US" w:eastAsia="zh-CN"/>
        </w:rPr>
        <w:t>建设征地补偿</w:t>
      </w:r>
      <w:r>
        <w:rPr>
          <w:rFonts w:hint="eastAsia"/>
          <w:color w:val="auto"/>
          <w:sz w:val="24"/>
          <w:highlight w:val="none"/>
        </w:rPr>
        <w:t>费</w:t>
      </w:r>
      <w:r>
        <w:rPr>
          <w:rFonts w:hint="eastAsia"/>
          <w:color w:val="auto"/>
          <w:sz w:val="24"/>
          <w:highlight w:val="none"/>
          <w:lang w:val="en-US" w:eastAsia="zh-CN"/>
        </w:rPr>
        <w:t>用33.96</w:t>
      </w:r>
      <w:r>
        <w:rPr>
          <w:rFonts w:hint="eastAsia"/>
          <w:color w:val="auto"/>
          <w:sz w:val="24"/>
          <w:highlight w:val="none"/>
        </w:rPr>
        <w:t>万元，水土保持工程</w:t>
      </w:r>
      <w:r>
        <w:rPr>
          <w:rFonts w:hint="eastAsia"/>
          <w:color w:val="auto"/>
          <w:sz w:val="24"/>
          <w:highlight w:val="none"/>
          <w:lang w:val="en-US" w:eastAsia="zh-CN"/>
        </w:rPr>
        <w:t>投资23.99</w:t>
      </w:r>
      <w:r>
        <w:rPr>
          <w:rFonts w:hint="eastAsia"/>
          <w:color w:val="auto"/>
          <w:sz w:val="24"/>
          <w:highlight w:val="none"/>
        </w:rPr>
        <w:t>万元，环境保护工程</w:t>
      </w:r>
      <w:r>
        <w:rPr>
          <w:rFonts w:hint="eastAsia"/>
          <w:color w:val="auto"/>
          <w:sz w:val="24"/>
          <w:highlight w:val="none"/>
          <w:lang w:val="en-US" w:eastAsia="zh-CN"/>
        </w:rPr>
        <w:t>投资17.04</w:t>
      </w:r>
      <w:r>
        <w:rPr>
          <w:rFonts w:hint="eastAsia"/>
          <w:color w:val="auto"/>
          <w:sz w:val="24"/>
          <w:highlight w:val="none"/>
        </w:rPr>
        <w:t>万元。</w:t>
      </w:r>
    </w:p>
    <w:p>
      <w:pPr>
        <w:pStyle w:val="2"/>
        <w:rPr>
          <w:rFonts w:hint="default"/>
          <w:color w:val="auto"/>
          <w:highlight w:val="none"/>
          <w:lang w:val="en-US" w:eastAsia="zh-CN"/>
        </w:rPr>
      </w:pPr>
    </w:p>
    <w:p>
      <w:pPr>
        <w:pStyle w:val="4"/>
        <w:bidi w:val="0"/>
        <w:rPr>
          <w:rFonts w:hint="eastAsia"/>
          <w:color w:val="auto"/>
          <w:highlight w:val="none"/>
          <w:lang w:val="en-US" w:eastAsia="zh-CN"/>
        </w:rPr>
      </w:pPr>
      <w:bookmarkStart w:id="90" w:name="_Toc1694268454"/>
      <w:r>
        <w:rPr>
          <w:rFonts w:hint="eastAsia"/>
          <w:color w:val="auto"/>
          <w:highlight w:val="none"/>
          <w:lang w:val="en-US" w:eastAsia="zh-CN"/>
        </w:rPr>
        <w:t>1.16经济评价</w:t>
      </w:r>
      <w:bookmarkEnd w:id="90"/>
    </w:p>
    <w:p>
      <w:pPr>
        <w:pStyle w:val="5"/>
        <w:bidi w:val="0"/>
        <w:rPr>
          <w:rFonts w:hint="eastAsia"/>
          <w:color w:val="auto"/>
          <w:highlight w:val="none"/>
        </w:rPr>
      </w:pPr>
      <w:r>
        <w:rPr>
          <w:rFonts w:hint="eastAsia"/>
          <w:color w:val="auto"/>
          <w:highlight w:val="none"/>
          <w:lang w:val="en-US" w:eastAsia="zh-CN"/>
        </w:rPr>
        <w:t>1.16.1</w:t>
      </w:r>
      <w:r>
        <w:rPr>
          <w:rFonts w:hint="eastAsia"/>
          <w:color w:val="auto"/>
          <w:highlight w:val="none"/>
        </w:rPr>
        <w:t>经济评价基本参数</w:t>
      </w:r>
    </w:p>
    <w:p>
      <w:pPr>
        <w:bidi w:val="0"/>
        <w:rPr>
          <w:rFonts w:hint="default"/>
          <w:color w:val="auto"/>
          <w:highlight w:val="none"/>
          <w:lang w:val="en-US" w:eastAsia="zh-CN"/>
        </w:rPr>
      </w:pPr>
      <w:r>
        <w:rPr>
          <w:color w:val="auto"/>
          <w:highlight w:val="none"/>
        </w:rPr>
        <w:t xml:space="preserve">(1)  </w:t>
      </w:r>
      <w:r>
        <w:rPr>
          <w:rFonts w:hint="eastAsia"/>
          <w:color w:val="auto"/>
          <w:highlight w:val="none"/>
          <w:lang w:val="en-US" w:eastAsia="zh-CN"/>
        </w:rPr>
        <w:t>国民经济评价</w:t>
      </w:r>
    </w:p>
    <w:p>
      <w:pPr>
        <w:bidi w:val="0"/>
        <w:rPr>
          <w:color w:val="auto"/>
          <w:highlight w:val="none"/>
        </w:rPr>
      </w:pPr>
      <w:r>
        <w:rPr>
          <w:color w:val="auto"/>
          <w:highlight w:val="none"/>
        </w:rPr>
        <w:t>依据《水利建设项目经济评价方法与参数》(第三版)，对属于或兼有社会公益性质的项目，可采用</w:t>
      </w:r>
      <w:r>
        <w:rPr>
          <w:rFonts w:hint="eastAsia"/>
          <w:color w:val="auto"/>
          <w:highlight w:val="none"/>
          <w:lang w:eastAsia="zh-CN"/>
        </w:rPr>
        <w:t>8%</w:t>
      </w:r>
      <w:r>
        <w:rPr>
          <w:color w:val="auto"/>
          <w:highlight w:val="none"/>
        </w:rPr>
        <w:t>的社会折现率进行国民经济评价；</w:t>
      </w:r>
    </w:p>
    <w:p>
      <w:pPr>
        <w:bidi w:val="0"/>
        <w:rPr>
          <w:rFonts w:hint="default"/>
          <w:color w:val="auto"/>
          <w:highlight w:val="none"/>
          <w:lang w:val="en-US" w:eastAsia="zh-CN"/>
        </w:rPr>
      </w:pPr>
      <w:r>
        <w:rPr>
          <w:rFonts w:hint="eastAsia"/>
          <w:color w:val="auto"/>
          <w:highlight w:val="none"/>
          <w:lang w:eastAsia="zh-CN"/>
        </w:rPr>
        <w:t>本项目社会折现率：</w:t>
      </w:r>
      <w:r>
        <w:rPr>
          <w:rFonts w:hint="eastAsia"/>
          <w:color w:val="auto"/>
          <w:highlight w:val="none"/>
          <w:lang w:val="en-US" w:eastAsia="zh-CN"/>
        </w:rPr>
        <w:t>8%</w:t>
      </w:r>
    </w:p>
    <w:p>
      <w:pPr>
        <w:bidi w:val="0"/>
        <w:rPr>
          <w:rFonts w:hint="eastAsia"/>
          <w:color w:val="auto"/>
          <w:highlight w:val="none"/>
          <w:lang w:val="en-US" w:eastAsia="zh-CN"/>
        </w:rPr>
      </w:pPr>
      <w:r>
        <w:rPr>
          <w:color w:val="auto"/>
          <w:highlight w:val="none"/>
        </w:rPr>
        <w:t xml:space="preserve">(2)  </w:t>
      </w:r>
      <w:r>
        <w:rPr>
          <w:rFonts w:hint="eastAsia"/>
          <w:color w:val="auto"/>
          <w:highlight w:val="none"/>
          <w:lang w:val="en-US" w:eastAsia="zh-CN"/>
        </w:rPr>
        <w:t>财务分析</w:t>
      </w:r>
    </w:p>
    <w:p>
      <w:pPr>
        <w:bidi w:val="0"/>
        <w:rPr>
          <w:rFonts w:hint="eastAsia"/>
          <w:color w:val="auto"/>
          <w:highlight w:val="none"/>
        </w:rPr>
      </w:pPr>
      <w:r>
        <w:rPr>
          <w:color w:val="auto"/>
          <w:highlight w:val="none"/>
        </w:rPr>
        <w:t>由于</w:t>
      </w:r>
      <w:r>
        <w:rPr>
          <w:rFonts w:hint="eastAsia"/>
          <w:color w:val="auto"/>
          <w:highlight w:val="none"/>
          <w:lang w:eastAsia="zh-CN"/>
        </w:rPr>
        <w:t>工程本身运行实际几乎没有财务收入</w:t>
      </w:r>
      <w:r>
        <w:rPr>
          <w:color w:val="auto"/>
          <w:highlight w:val="none"/>
        </w:rPr>
        <w:t>，因此本次不进行财务评价，只进行简单的财务分析。</w:t>
      </w:r>
    </w:p>
    <w:p>
      <w:pPr>
        <w:bidi w:val="0"/>
        <w:rPr>
          <w:color w:val="auto"/>
          <w:highlight w:val="none"/>
        </w:rPr>
      </w:pPr>
      <w:r>
        <w:rPr>
          <w:rFonts w:hint="eastAsia"/>
          <w:color w:val="auto"/>
          <w:highlight w:val="none"/>
        </w:rPr>
        <w:t xml:space="preserve">(3)  </w:t>
      </w:r>
      <w:r>
        <w:rPr>
          <w:color w:val="auto"/>
          <w:highlight w:val="none"/>
        </w:rPr>
        <w:t>资金安排及计算年限</w:t>
      </w:r>
    </w:p>
    <w:p>
      <w:pPr>
        <w:bidi w:val="0"/>
        <w:rPr>
          <w:color w:val="auto"/>
          <w:highlight w:val="none"/>
        </w:rPr>
      </w:pPr>
      <w:r>
        <w:rPr>
          <w:color w:val="auto"/>
          <w:highlight w:val="none"/>
        </w:rPr>
        <w:t>工程建设期：依据施工安排，</w:t>
      </w:r>
      <w:r>
        <w:rPr>
          <w:rFonts w:hint="eastAsia"/>
          <w:color w:val="auto"/>
          <w:highlight w:val="none"/>
          <w:lang w:val="en-US" w:eastAsia="zh-CN"/>
        </w:rPr>
        <w:t>工程</w:t>
      </w:r>
      <w:r>
        <w:rPr>
          <w:color w:val="auto"/>
          <w:highlight w:val="none"/>
        </w:rPr>
        <w:t>的建设期为</w:t>
      </w:r>
      <w:r>
        <w:rPr>
          <w:rFonts w:hint="eastAsia"/>
          <w:color w:val="auto"/>
          <w:highlight w:val="none"/>
          <w:lang w:val="en-US" w:eastAsia="zh-CN"/>
        </w:rPr>
        <w:t>6个月</w:t>
      </w:r>
      <w:r>
        <w:rPr>
          <w:color w:val="auto"/>
          <w:highlight w:val="none"/>
        </w:rPr>
        <w:t>。</w:t>
      </w:r>
    </w:p>
    <w:p>
      <w:pPr>
        <w:bidi w:val="0"/>
        <w:rPr>
          <w:rFonts w:hint="default"/>
          <w:color w:val="auto"/>
          <w:highlight w:val="none"/>
          <w:lang w:val="en-US" w:eastAsia="zh-CN"/>
        </w:rPr>
      </w:pPr>
      <w:r>
        <w:rPr>
          <w:rFonts w:hint="eastAsia"/>
          <w:color w:val="auto"/>
          <w:highlight w:val="none"/>
          <w:lang w:val="en-US" w:eastAsia="zh-CN"/>
        </w:rPr>
        <w:t>工程运行期：工程运行期为30年。</w:t>
      </w:r>
    </w:p>
    <w:p>
      <w:pPr>
        <w:bidi w:val="0"/>
        <w:rPr>
          <w:rFonts w:hint="default"/>
          <w:color w:val="auto"/>
          <w:highlight w:val="none"/>
          <w:lang w:val="en-US" w:eastAsia="zh-CN"/>
        </w:rPr>
      </w:pPr>
      <w:r>
        <w:rPr>
          <w:color w:val="auto"/>
          <w:highlight w:val="none"/>
        </w:rPr>
        <w:t>结合工程投资构成、依据规范确定本工程的计算年限为</w:t>
      </w:r>
      <w:r>
        <w:rPr>
          <w:rFonts w:hint="eastAsia"/>
          <w:color w:val="auto"/>
          <w:highlight w:val="none"/>
          <w:lang w:val="en-US" w:eastAsia="zh-CN"/>
        </w:rPr>
        <w:t>31</w:t>
      </w:r>
      <w:r>
        <w:rPr>
          <w:color w:val="auto"/>
          <w:highlight w:val="none"/>
        </w:rPr>
        <w:t>年。</w:t>
      </w:r>
    </w:p>
    <w:p>
      <w:pPr>
        <w:pStyle w:val="5"/>
        <w:bidi w:val="0"/>
        <w:rPr>
          <w:rFonts w:hint="eastAsia" w:ascii="黑体" w:eastAsia="黑体"/>
          <w:color w:val="auto"/>
          <w:sz w:val="24"/>
          <w:highlight w:val="none"/>
        </w:rPr>
      </w:pPr>
      <w:r>
        <w:rPr>
          <w:rFonts w:hint="eastAsia"/>
          <w:b/>
          <w:color w:val="auto"/>
          <w:sz w:val="24"/>
          <w:highlight w:val="none"/>
          <w:lang w:val="en-US" w:eastAsia="zh-CN"/>
        </w:rPr>
        <w:t>1.16.2</w:t>
      </w:r>
      <w:r>
        <w:rPr>
          <w:rFonts w:hint="eastAsia" w:ascii="黑体" w:hAnsi="宋体" w:eastAsia="黑体"/>
          <w:color w:val="auto"/>
          <w:sz w:val="24"/>
          <w:highlight w:val="none"/>
        </w:rPr>
        <w:t>国民经济评价</w:t>
      </w:r>
    </w:p>
    <w:p>
      <w:pPr>
        <w:bidi w:val="0"/>
        <w:rPr>
          <w:color w:val="auto"/>
          <w:highlight w:val="none"/>
        </w:rPr>
      </w:pPr>
      <w:r>
        <w:rPr>
          <w:color w:val="auto"/>
          <w:highlight w:val="none"/>
        </w:rPr>
        <w:t>依据经济评价规范，本工程的国民经济评价按改、扩建水利项目进行，计算增量费用和增量效益，提出国民经济评价指标：经济内部收益率EIRR、经济净现值ENPV、经济效益费用比EBCR。</w:t>
      </w:r>
    </w:p>
    <w:p>
      <w:pPr>
        <w:bidi w:val="0"/>
        <w:rPr>
          <w:color w:val="auto"/>
          <w:highlight w:val="none"/>
        </w:rPr>
      </w:pPr>
      <w:r>
        <w:rPr>
          <w:bCs/>
          <w:color w:val="auto"/>
          <w:spacing w:val="-4"/>
          <w:sz w:val="24"/>
          <w:highlight w:val="none"/>
        </w:rPr>
        <w:t>按上述增量费用与增量效益计算，基本方案的国民经济内部收益率、经济净现</w:t>
      </w:r>
      <w:r>
        <w:rPr>
          <w:bCs/>
          <w:color w:val="auto"/>
          <w:spacing w:val="2"/>
          <w:sz w:val="24"/>
          <w:highlight w:val="none"/>
        </w:rPr>
        <w:t>值、效益费用比分别为</w:t>
      </w:r>
      <w:r>
        <w:rPr>
          <w:rFonts w:hint="eastAsia"/>
          <w:bCs/>
          <w:color w:val="auto"/>
          <w:spacing w:val="2"/>
          <w:sz w:val="24"/>
          <w:highlight w:val="none"/>
          <w:lang w:val="en-US" w:eastAsia="zh-CN"/>
        </w:rPr>
        <w:t>10.38</w:t>
      </w:r>
      <w:r>
        <w:rPr>
          <w:bCs/>
          <w:color w:val="auto"/>
          <w:spacing w:val="2"/>
          <w:sz w:val="24"/>
          <w:highlight w:val="none"/>
        </w:rPr>
        <w:t>%</w:t>
      </w:r>
      <w:r>
        <w:rPr>
          <w:rFonts w:hAnsi="宋体"/>
          <w:bCs/>
          <w:color w:val="auto"/>
          <w:spacing w:val="2"/>
          <w:sz w:val="24"/>
          <w:highlight w:val="none"/>
        </w:rPr>
        <w:t>、</w:t>
      </w:r>
      <w:r>
        <w:rPr>
          <w:rFonts w:hint="eastAsia" w:hAnsi="宋体"/>
          <w:bCs/>
          <w:color w:val="auto"/>
          <w:spacing w:val="2"/>
          <w:sz w:val="24"/>
          <w:highlight w:val="none"/>
          <w:lang w:val="en-US" w:eastAsia="zh-CN"/>
        </w:rPr>
        <w:t>755.71</w:t>
      </w:r>
      <w:r>
        <w:rPr>
          <w:rFonts w:hAnsi="宋体"/>
          <w:bCs/>
          <w:color w:val="auto"/>
          <w:spacing w:val="2"/>
          <w:sz w:val="24"/>
          <w:highlight w:val="none"/>
        </w:rPr>
        <w:t>万元、</w:t>
      </w:r>
      <w:r>
        <w:rPr>
          <w:bCs/>
          <w:color w:val="auto"/>
          <w:spacing w:val="2"/>
          <w:sz w:val="24"/>
          <w:highlight w:val="none"/>
        </w:rPr>
        <w:t>1</w:t>
      </w:r>
      <w:r>
        <w:rPr>
          <w:rFonts w:hint="eastAsia"/>
          <w:bCs/>
          <w:color w:val="auto"/>
          <w:spacing w:val="2"/>
          <w:sz w:val="24"/>
          <w:highlight w:val="none"/>
          <w:lang w:val="en-US" w:eastAsia="zh-CN"/>
        </w:rPr>
        <w:t>.43，</w:t>
      </w:r>
      <w:r>
        <w:rPr>
          <w:bCs/>
          <w:color w:val="auto"/>
          <w:spacing w:val="2"/>
          <w:sz w:val="24"/>
          <w:highlight w:val="none"/>
        </w:rPr>
        <w:t>均满足规范要求，</w:t>
      </w:r>
      <w:r>
        <w:rPr>
          <w:color w:val="auto"/>
          <w:highlight w:val="none"/>
        </w:rPr>
        <w:t>计算成果见表</w:t>
      </w:r>
      <w:r>
        <w:rPr>
          <w:rFonts w:hint="eastAsia"/>
          <w:color w:val="auto"/>
          <w:highlight w:val="none"/>
          <w:lang w:val="en-US" w:eastAsia="zh-CN"/>
        </w:rPr>
        <w:t>1.16-1</w:t>
      </w:r>
      <w:r>
        <w:rPr>
          <w:color w:val="auto"/>
          <w:highlight w:val="none"/>
        </w:rPr>
        <w:t>。</w:t>
      </w:r>
    </w:p>
    <w:p>
      <w:pPr>
        <w:pStyle w:val="5"/>
        <w:bidi w:val="0"/>
        <w:rPr>
          <w:color w:val="auto"/>
          <w:highlight w:val="none"/>
        </w:rPr>
      </w:pPr>
      <w:r>
        <w:rPr>
          <w:rFonts w:hint="eastAsia"/>
          <w:color w:val="auto"/>
          <w:highlight w:val="none"/>
          <w:lang w:val="en-US" w:eastAsia="zh-CN"/>
        </w:rPr>
        <w:t>1.16.3</w:t>
      </w:r>
      <w:r>
        <w:rPr>
          <w:color w:val="auto"/>
          <w:highlight w:val="none"/>
        </w:rPr>
        <w:t>国民经济评价结论</w:t>
      </w:r>
    </w:p>
    <w:p>
      <w:pPr>
        <w:bidi w:val="0"/>
        <w:rPr>
          <w:color w:val="auto"/>
          <w:highlight w:val="none"/>
        </w:rPr>
      </w:pPr>
      <w:r>
        <w:rPr>
          <w:color w:val="auto"/>
          <w:highlight w:val="none"/>
        </w:rPr>
        <w:t>由表</w:t>
      </w:r>
      <w:r>
        <w:rPr>
          <w:rFonts w:hint="eastAsia"/>
          <w:color w:val="auto"/>
          <w:highlight w:val="none"/>
          <w:lang w:val="en-US" w:eastAsia="zh-CN"/>
        </w:rPr>
        <w:t>1.16-1</w:t>
      </w:r>
      <w:r>
        <w:rPr>
          <w:color w:val="auto"/>
          <w:highlight w:val="none"/>
        </w:rPr>
        <w:t>计算成果分析，本工程国民经济内部收益率为</w:t>
      </w:r>
      <w:r>
        <w:rPr>
          <w:rFonts w:hint="eastAsia"/>
          <w:bCs/>
          <w:color w:val="auto"/>
          <w:spacing w:val="2"/>
          <w:sz w:val="24"/>
          <w:highlight w:val="none"/>
          <w:lang w:val="en-US" w:eastAsia="zh-CN"/>
        </w:rPr>
        <w:t>10.38</w:t>
      </w:r>
      <w:r>
        <w:rPr>
          <w:color w:val="auto"/>
          <w:highlight w:val="none"/>
        </w:rPr>
        <w:t>%，大于</w:t>
      </w:r>
      <w:r>
        <w:rPr>
          <w:rFonts w:hint="eastAsia"/>
          <w:color w:val="auto"/>
          <w:highlight w:val="none"/>
          <w:lang w:val="en-US" w:eastAsia="zh-CN"/>
        </w:rPr>
        <w:t>8%</w:t>
      </w:r>
      <w:r>
        <w:rPr>
          <w:color w:val="auto"/>
          <w:highlight w:val="none"/>
        </w:rPr>
        <w:t>的社会折现率要求。依据规范，本工程的收益期较长，远期效益较大，效益实现的风险相对较小，社会折现率</w:t>
      </w:r>
      <w:r>
        <w:rPr>
          <w:rFonts w:hint="eastAsia"/>
          <w:color w:val="auto"/>
          <w:highlight w:val="none"/>
        </w:rPr>
        <w:t>采用</w:t>
      </w:r>
      <w:r>
        <w:rPr>
          <w:rFonts w:hint="eastAsia"/>
          <w:color w:val="auto"/>
          <w:highlight w:val="none"/>
          <w:lang w:val="en-US" w:eastAsia="zh-CN"/>
        </w:rPr>
        <w:t>8%</w:t>
      </w:r>
      <w:r>
        <w:rPr>
          <w:color w:val="auto"/>
          <w:highlight w:val="none"/>
        </w:rPr>
        <w:t>评价。</w:t>
      </w:r>
    </w:p>
    <w:p>
      <w:pPr>
        <w:bidi w:val="0"/>
        <w:rPr>
          <w:color w:val="auto"/>
          <w:highlight w:val="none"/>
        </w:rPr>
      </w:pPr>
      <w:r>
        <w:rPr>
          <w:color w:val="auto"/>
          <w:highlight w:val="none"/>
        </w:rPr>
        <w:t>当投资、效益向不利方向变化时，国民经济的内部收益率</w:t>
      </w:r>
      <w:r>
        <w:rPr>
          <w:rFonts w:hint="eastAsia"/>
          <w:color w:val="auto"/>
          <w:highlight w:val="none"/>
        </w:rPr>
        <w:t>大于</w:t>
      </w:r>
      <w:r>
        <w:rPr>
          <w:rFonts w:hint="eastAsia"/>
          <w:color w:val="auto"/>
          <w:highlight w:val="none"/>
          <w:lang w:val="en-US" w:eastAsia="zh-CN"/>
        </w:rPr>
        <w:t>8%</w:t>
      </w:r>
      <w:r>
        <w:rPr>
          <w:color w:val="auto"/>
          <w:highlight w:val="none"/>
        </w:rPr>
        <w:t>，表明本工程</w:t>
      </w:r>
      <w:r>
        <w:rPr>
          <w:rFonts w:hint="eastAsia"/>
          <w:color w:val="auto"/>
          <w:highlight w:val="none"/>
        </w:rPr>
        <w:t>具有一定的</w:t>
      </w:r>
      <w:r>
        <w:rPr>
          <w:color w:val="auto"/>
          <w:highlight w:val="none"/>
        </w:rPr>
        <w:t>抗风险能力，</w:t>
      </w:r>
      <w:r>
        <w:rPr>
          <w:rFonts w:hint="eastAsia"/>
          <w:color w:val="auto"/>
          <w:highlight w:val="none"/>
        </w:rPr>
        <w:t>同时工程的</w:t>
      </w:r>
      <w:r>
        <w:rPr>
          <w:color w:val="auto"/>
          <w:highlight w:val="none"/>
        </w:rPr>
        <w:t>社会效益</w:t>
      </w:r>
      <w:r>
        <w:rPr>
          <w:rFonts w:hint="eastAsia"/>
          <w:color w:val="auto"/>
          <w:highlight w:val="none"/>
        </w:rPr>
        <w:t>显著，维持社会的稳定和可持续发展的社会效益</w:t>
      </w:r>
      <w:r>
        <w:rPr>
          <w:color w:val="auto"/>
          <w:highlight w:val="none"/>
        </w:rPr>
        <w:t>。</w:t>
      </w:r>
    </w:p>
    <w:p>
      <w:pPr>
        <w:bidi w:val="0"/>
        <w:rPr>
          <w:color w:val="auto"/>
          <w:highlight w:val="none"/>
        </w:rPr>
      </w:pPr>
      <w:r>
        <w:rPr>
          <w:color w:val="auto"/>
          <w:highlight w:val="none"/>
        </w:rPr>
        <w:t>为了充分发挥本工程的效益，建议强化管理、降低管理费用、提高管理效率；通过宣传，提高受水区域群众的水商品意识，节约用水，优化水资源的配置，促进地区经济的可持续发展。</w:t>
      </w:r>
    </w:p>
    <w:p>
      <w:pPr>
        <w:pStyle w:val="5"/>
        <w:bidi w:val="0"/>
        <w:rPr>
          <w:rFonts w:hint="eastAsia" w:ascii="黑体" w:eastAsia="黑体"/>
          <w:color w:val="auto"/>
          <w:sz w:val="24"/>
          <w:highlight w:val="none"/>
        </w:rPr>
      </w:pPr>
      <w:r>
        <w:rPr>
          <w:rFonts w:hint="eastAsia"/>
          <w:b/>
          <w:color w:val="auto"/>
          <w:sz w:val="24"/>
          <w:highlight w:val="none"/>
          <w:lang w:val="en-US" w:eastAsia="zh-CN"/>
        </w:rPr>
        <w:t>1.</w:t>
      </w:r>
      <w:r>
        <w:rPr>
          <w:rFonts w:hint="eastAsia"/>
          <w:b/>
          <w:color w:val="auto"/>
          <w:sz w:val="24"/>
          <w:highlight w:val="none"/>
          <w:lang w:eastAsia="zh-CN"/>
        </w:rPr>
        <w:t>16</w:t>
      </w:r>
      <w:r>
        <w:rPr>
          <w:b/>
          <w:color w:val="auto"/>
          <w:sz w:val="24"/>
          <w:highlight w:val="none"/>
        </w:rPr>
        <w:t xml:space="preserve">.4  </w:t>
      </w:r>
      <w:r>
        <w:rPr>
          <w:rFonts w:hint="eastAsia" w:ascii="黑体" w:hAnsi="宋体" w:eastAsia="黑体"/>
          <w:color w:val="auto"/>
          <w:sz w:val="24"/>
          <w:highlight w:val="none"/>
        </w:rPr>
        <w:t>财务平衡分析</w:t>
      </w:r>
    </w:p>
    <w:p>
      <w:pPr>
        <w:bidi w:val="0"/>
        <w:rPr>
          <w:rFonts w:hint="eastAsia"/>
          <w:color w:val="auto"/>
          <w:highlight w:val="none"/>
          <w:lang w:eastAsia="zh-CN"/>
        </w:rPr>
      </w:pPr>
      <w:r>
        <w:rPr>
          <w:color w:val="auto"/>
          <w:highlight w:val="none"/>
        </w:rPr>
        <w:t>工程主要是</w:t>
      </w:r>
      <w:r>
        <w:rPr>
          <w:rFonts w:hint="eastAsia"/>
          <w:color w:val="auto"/>
          <w:highlight w:val="none"/>
          <w:lang w:eastAsia="zh-CN"/>
        </w:rPr>
        <w:t>灌溉为主，兼顾防洪、发电的小一型水库</w:t>
      </w:r>
      <w:r>
        <w:rPr>
          <w:color w:val="auto"/>
          <w:highlight w:val="none"/>
        </w:rPr>
        <w:t>，</w:t>
      </w:r>
      <w:r>
        <w:rPr>
          <w:rFonts w:hint="eastAsia"/>
          <w:color w:val="auto"/>
          <w:highlight w:val="none"/>
          <w:lang w:eastAsia="zh-CN"/>
        </w:rPr>
        <w:t>水库除险加固后，对于</w:t>
      </w:r>
      <w:r>
        <w:rPr>
          <w:color w:val="auto"/>
          <w:highlight w:val="none"/>
        </w:rPr>
        <w:t>促进当地经济发展，保护人民财产安全，</w:t>
      </w:r>
      <w:r>
        <w:rPr>
          <w:rFonts w:hint="eastAsia"/>
          <w:color w:val="auto"/>
          <w:highlight w:val="none"/>
          <w:lang w:eastAsia="zh-CN"/>
        </w:rPr>
        <w:t>均有重要意义，</w:t>
      </w:r>
      <w:r>
        <w:rPr>
          <w:color w:val="auto"/>
          <w:highlight w:val="none"/>
        </w:rPr>
        <w:t>是社会公益性水利工程项目</w:t>
      </w:r>
      <w:r>
        <w:rPr>
          <w:rFonts w:hint="eastAsia"/>
          <w:color w:val="auto"/>
          <w:highlight w:val="none"/>
          <w:lang w:eastAsia="zh-CN"/>
        </w:rPr>
        <w:t>。</w:t>
      </w:r>
      <w:r>
        <w:rPr>
          <w:color w:val="auto"/>
          <w:highlight w:val="none"/>
        </w:rPr>
        <w:t>经济评价以国民经济评价为主，工程本身财务收入</w:t>
      </w:r>
      <w:r>
        <w:rPr>
          <w:rFonts w:hint="eastAsia"/>
          <w:color w:val="auto"/>
          <w:highlight w:val="none"/>
          <w:lang w:eastAsia="zh-CN"/>
        </w:rPr>
        <w:t>有灌溉效益和发电效益，由于多年来农业水价改革还未真正实行，水库管理单位要收取水费较为困难，发电效益不太稳定，占比也较小。因此工程本身运行实际几乎没有财务收入。</w:t>
      </w:r>
    </w:p>
    <w:p>
      <w:pPr>
        <w:bidi w:val="0"/>
        <w:rPr>
          <w:color w:val="auto"/>
          <w:highlight w:val="none"/>
        </w:rPr>
        <w:sectPr>
          <w:footerReference r:id="rId8" w:type="default"/>
          <w:pgSz w:w="11906" w:h="16838"/>
          <w:pgMar w:top="1440" w:right="1800" w:bottom="1440" w:left="1800" w:header="851" w:footer="992" w:gutter="0"/>
          <w:pgNumType w:fmt="decimal" w:start="1"/>
          <w:cols w:space="425" w:num="1"/>
          <w:docGrid w:type="lines" w:linePitch="312" w:charSpace="0"/>
        </w:sectPr>
      </w:pPr>
      <w:r>
        <w:rPr>
          <w:color w:val="auto"/>
          <w:highlight w:val="none"/>
        </w:rPr>
        <w:t>工程建设资金除中央和省按有关政策给予补助外，其余建设资金由地方自筹解决，工程年运行费由地方财政补助支持，以保证各项工程的正常运行，从而更好地发挥其综合效益。</w:t>
      </w:r>
    </w:p>
    <w:p>
      <w:pPr>
        <w:spacing w:line="560" w:lineRule="atLeast"/>
        <w:jc w:val="center"/>
        <w:rPr>
          <w:rFonts w:hint="eastAsia" w:ascii="宋体" w:hAnsi="宋体" w:eastAsia="宋体" w:cs="宋体"/>
          <w:b w:val="0"/>
          <w:bCs w:val="0"/>
          <w:color w:val="auto"/>
          <w:spacing w:val="-4"/>
          <w:sz w:val="24"/>
          <w:highlight w:val="none"/>
        </w:rPr>
      </w:pPr>
      <w:r>
        <w:rPr>
          <w:rFonts w:hint="eastAsia" w:ascii="宋体" w:hAnsi="宋体" w:eastAsia="宋体" w:cs="宋体"/>
          <w:b w:val="0"/>
          <w:bCs w:val="0"/>
          <w:color w:val="auto"/>
          <w:kern w:val="0"/>
          <w:sz w:val="24"/>
          <w:highlight w:val="none"/>
        </w:rPr>
        <w:t>表</w:t>
      </w:r>
      <w:r>
        <w:rPr>
          <w:rFonts w:hint="eastAsia" w:ascii="Times New Roman" w:hAnsi="Times New Roman" w:eastAsia="宋体" w:cs="Times New Roman"/>
          <w:i w:val="0"/>
          <w:color w:val="auto"/>
          <w:kern w:val="0"/>
          <w:sz w:val="24"/>
          <w:szCs w:val="24"/>
          <w:highlight w:val="none"/>
          <w:u w:val="none"/>
          <w:lang w:val="en-US" w:eastAsia="zh-CN" w:bidi="ar"/>
        </w:rPr>
        <w:t>1.16-1</w:t>
      </w:r>
      <w:r>
        <w:rPr>
          <w:rFonts w:hint="eastAsia" w:ascii="宋体" w:hAnsi="宋体" w:eastAsia="宋体" w:cs="宋体"/>
          <w:b w:val="0"/>
          <w:bCs w:val="0"/>
          <w:color w:val="auto"/>
          <w:kern w:val="0"/>
          <w:sz w:val="24"/>
          <w:highlight w:val="none"/>
        </w:rPr>
        <w:t xml:space="preserve">  国民经济评价效益费用流量表</w:t>
      </w:r>
    </w:p>
    <w:tbl>
      <w:tblPr>
        <w:tblStyle w:val="23"/>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56"/>
        <w:gridCol w:w="1835"/>
        <w:gridCol w:w="1114"/>
        <w:gridCol w:w="1102"/>
        <w:gridCol w:w="1102"/>
        <w:gridCol w:w="1102"/>
        <w:gridCol w:w="995"/>
        <w:gridCol w:w="995"/>
        <w:gridCol w:w="997"/>
        <w:gridCol w:w="1031"/>
        <w:gridCol w:w="1031"/>
        <w:gridCol w:w="1033"/>
        <w:gridCol w:w="11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序号</w:t>
            </w:r>
          </w:p>
        </w:tc>
        <w:tc>
          <w:tcPr>
            <w:tcW w:w="64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项</w:t>
            </w:r>
            <w:r>
              <w:rPr>
                <w:rFonts w:hint="default" w:ascii="Times New Roman" w:hAnsi="Times New Roman" w:eastAsia="宋体" w:cs="Times New Roman"/>
                <w:i w:val="0"/>
                <w:color w:val="auto"/>
                <w:kern w:val="0"/>
                <w:sz w:val="21"/>
                <w:szCs w:val="21"/>
                <w:highlight w:val="none"/>
                <w:u w:val="none"/>
                <w:lang w:val="en-US" w:eastAsia="zh-CN" w:bidi="ar"/>
              </w:rPr>
              <w:t xml:space="preserve">  目</w:t>
            </w:r>
          </w:p>
        </w:tc>
        <w:tc>
          <w:tcPr>
            <w:tcW w:w="3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建设期</w:t>
            </w:r>
          </w:p>
        </w:tc>
        <w:tc>
          <w:tcPr>
            <w:tcW w:w="3725" w:type="pct"/>
            <w:gridSpan w:val="10"/>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运</w:t>
            </w:r>
            <w:r>
              <w:rPr>
                <w:rFonts w:hint="default" w:ascii="Times New Roman" w:hAnsi="Times New Roman" w:eastAsia="宋体" w:cs="Times New Roman"/>
                <w:i w:val="0"/>
                <w:color w:val="auto"/>
                <w:kern w:val="0"/>
                <w:sz w:val="21"/>
                <w:szCs w:val="21"/>
                <w:highlight w:val="none"/>
                <w:u w:val="none"/>
                <w:lang w:val="en-US" w:eastAsia="zh-CN" w:bidi="ar"/>
              </w:rPr>
              <w:t xml:space="preserve">     行     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kinsoku/>
              <w:wordWrap/>
              <w:overflowPunct/>
              <w:topLinePunct w:val="0"/>
              <w:autoSpaceDE/>
              <w:autoSpaceDN/>
              <w:bidi w:val="0"/>
              <w:adjustRightInd/>
              <w:snapToGrid/>
              <w:ind w:firstLine="0" w:firstLineChars="0"/>
              <w:jc w:val="center"/>
              <w:rPr>
                <w:rFonts w:hint="default" w:ascii="Times New Roman" w:hAnsi="Times New Roman" w:eastAsia="宋体" w:cs="Times New Roman"/>
                <w:i w:val="0"/>
                <w:color w:val="auto"/>
                <w:sz w:val="21"/>
                <w:szCs w:val="21"/>
                <w:highlight w:val="none"/>
                <w:u w:val="none"/>
              </w:rPr>
            </w:pPr>
          </w:p>
        </w:tc>
        <w:tc>
          <w:tcPr>
            <w:tcW w:w="64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年序</w:t>
            </w:r>
          </w:p>
        </w:tc>
        <w:tc>
          <w:tcPr>
            <w:tcW w:w="111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b/>
                <w:i w:val="0"/>
                <w:color w:val="auto"/>
                <w:kern w:val="0"/>
                <w:sz w:val="21"/>
                <w:szCs w:val="21"/>
                <w:highlight w:val="none"/>
                <w:u w:val="none"/>
                <w:lang w:val="en-US" w:eastAsia="zh-CN" w:bidi="ar"/>
              </w:rPr>
              <w:t>0</w:t>
            </w:r>
          </w:p>
        </w:tc>
        <w:tc>
          <w:tcPr>
            <w:tcW w:w="110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color w:val="auto"/>
                <w:kern w:val="0"/>
                <w:sz w:val="21"/>
                <w:szCs w:val="21"/>
                <w:highlight w:val="none"/>
                <w:u w:val="none"/>
                <w:lang w:val="en-US" w:eastAsia="zh-CN" w:bidi="ar"/>
              </w:rPr>
            </w:pPr>
            <w:r>
              <w:rPr>
                <w:rFonts w:hint="default" w:ascii="Times New Roman" w:hAnsi="Times New Roman" w:eastAsia="宋体" w:cs="Times New Roman"/>
                <w:b/>
                <w:i w:val="0"/>
                <w:color w:val="auto"/>
                <w:kern w:val="0"/>
                <w:sz w:val="21"/>
                <w:szCs w:val="21"/>
                <w:highlight w:val="none"/>
                <w:u w:val="none"/>
                <w:lang w:val="en-US" w:eastAsia="zh-CN" w:bidi="ar"/>
              </w:rPr>
              <w:t xml:space="preserve">193.69 </w:t>
            </w:r>
          </w:p>
        </w:tc>
        <w:tc>
          <w:tcPr>
            <w:tcW w:w="110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Times New Roman" w:hAnsi="Times New Roman" w:eastAsia="宋体" w:cs="Times New Roman"/>
                <w:i w:val="0"/>
                <w:color w:val="auto"/>
                <w:kern w:val="0"/>
                <w:sz w:val="21"/>
                <w:szCs w:val="21"/>
                <w:highlight w:val="none"/>
                <w:u w:val="none"/>
                <w:lang w:val="en-US" w:eastAsia="zh-CN" w:bidi="ar"/>
              </w:rPr>
            </w:pPr>
            <w:r>
              <w:rPr>
                <w:rFonts w:hint="default" w:ascii="Times New Roman" w:hAnsi="Times New Roman" w:eastAsia="宋体" w:cs="Times New Roman"/>
                <w:b/>
                <w:i w:val="0"/>
                <w:color w:val="auto"/>
                <w:kern w:val="0"/>
                <w:sz w:val="21"/>
                <w:szCs w:val="21"/>
                <w:highlight w:val="none"/>
                <w:u w:val="none"/>
                <w:lang w:val="en-US" w:eastAsia="zh-CN" w:bidi="ar"/>
              </w:rPr>
              <w:t xml:space="preserve">193.69 </w:t>
            </w:r>
          </w:p>
        </w:tc>
        <w:tc>
          <w:tcPr>
            <w:tcW w:w="110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color w:val="auto"/>
                <w:kern w:val="0"/>
                <w:sz w:val="21"/>
                <w:szCs w:val="21"/>
                <w:highlight w:val="none"/>
                <w:u w:val="none"/>
                <w:lang w:val="en-US" w:eastAsia="zh-CN" w:bidi="ar"/>
              </w:rPr>
            </w:pPr>
            <w:r>
              <w:rPr>
                <w:rFonts w:hint="default" w:ascii="Times New Roman" w:hAnsi="Times New Roman" w:eastAsia="宋体" w:cs="Times New Roman"/>
                <w:b/>
                <w:i w:val="0"/>
                <w:color w:val="auto"/>
                <w:kern w:val="0"/>
                <w:sz w:val="21"/>
                <w:szCs w:val="21"/>
                <w:highlight w:val="none"/>
                <w:u w:val="none"/>
                <w:lang w:val="en-US" w:eastAsia="zh-CN" w:bidi="ar"/>
              </w:rPr>
              <w:t xml:space="preserve">193.69 </w:t>
            </w:r>
          </w:p>
        </w:tc>
        <w:tc>
          <w:tcPr>
            <w:tcW w:w="9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Times New Roman" w:hAnsi="Times New Roman" w:eastAsia="宋体" w:cs="Times New Roman"/>
                <w:i w:val="0"/>
                <w:color w:val="auto"/>
                <w:kern w:val="0"/>
                <w:sz w:val="21"/>
                <w:szCs w:val="21"/>
                <w:highlight w:val="none"/>
                <w:u w:val="none"/>
                <w:lang w:val="en-US" w:eastAsia="zh-CN" w:bidi="ar"/>
              </w:rPr>
            </w:pPr>
            <w:r>
              <w:rPr>
                <w:rFonts w:hint="default" w:ascii="Times New Roman" w:hAnsi="Times New Roman" w:eastAsia="宋体" w:cs="Times New Roman"/>
                <w:b/>
                <w:i w:val="0"/>
                <w:color w:val="auto"/>
                <w:kern w:val="0"/>
                <w:sz w:val="21"/>
                <w:szCs w:val="21"/>
                <w:highlight w:val="none"/>
                <w:u w:val="none"/>
                <w:lang w:val="en-US" w:eastAsia="zh-CN" w:bidi="ar"/>
              </w:rPr>
              <w:t xml:space="preserve">193.69 </w:t>
            </w:r>
          </w:p>
        </w:tc>
        <w:tc>
          <w:tcPr>
            <w:tcW w:w="9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color w:val="auto"/>
                <w:kern w:val="0"/>
                <w:sz w:val="21"/>
                <w:szCs w:val="21"/>
                <w:highlight w:val="none"/>
                <w:u w:val="none"/>
                <w:lang w:val="en-US" w:eastAsia="zh-CN" w:bidi="ar"/>
              </w:rPr>
            </w:pPr>
            <w:r>
              <w:rPr>
                <w:rFonts w:hint="default" w:ascii="Times New Roman" w:hAnsi="Times New Roman" w:eastAsia="宋体" w:cs="Times New Roman"/>
                <w:b/>
                <w:i w:val="0"/>
                <w:color w:val="auto"/>
                <w:kern w:val="0"/>
                <w:sz w:val="21"/>
                <w:szCs w:val="21"/>
                <w:highlight w:val="none"/>
                <w:u w:val="none"/>
                <w:lang w:val="en-US" w:eastAsia="zh-CN" w:bidi="ar"/>
              </w:rPr>
              <w:t xml:space="preserve">193.69 </w:t>
            </w:r>
          </w:p>
        </w:tc>
        <w:tc>
          <w:tcPr>
            <w:tcW w:w="99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Times New Roman" w:hAnsi="Times New Roman" w:eastAsia="宋体" w:cs="Times New Roman"/>
                <w:i w:val="0"/>
                <w:color w:val="auto"/>
                <w:kern w:val="0"/>
                <w:sz w:val="21"/>
                <w:szCs w:val="21"/>
                <w:highlight w:val="none"/>
                <w:u w:val="none"/>
                <w:lang w:val="en-US" w:eastAsia="zh-CN" w:bidi="ar"/>
              </w:rPr>
            </w:pPr>
            <w:r>
              <w:rPr>
                <w:rFonts w:hint="default" w:ascii="Times New Roman" w:hAnsi="Times New Roman" w:eastAsia="宋体" w:cs="Times New Roman"/>
                <w:b/>
                <w:i w:val="0"/>
                <w:color w:val="auto"/>
                <w:kern w:val="0"/>
                <w:sz w:val="21"/>
                <w:szCs w:val="21"/>
                <w:highlight w:val="none"/>
                <w:u w:val="none"/>
                <w:lang w:val="en-US" w:eastAsia="zh-CN" w:bidi="ar"/>
              </w:rPr>
              <w:t xml:space="preserve">193.69 </w:t>
            </w:r>
          </w:p>
        </w:tc>
        <w:tc>
          <w:tcPr>
            <w:tcW w:w="103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color w:val="auto"/>
                <w:kern w:val="0"/>
                <w:sz w:val="21"/>
                <w:szCs w:val="21"/>
                <w:highlight w:val="none"/>
                <w:u w:val="none"/>
                <w:lang w:val="en-US" w:eastAsia="zh-CN" w:bidi="ar"/>
              </w:rPr>
            </w:pPr>
            <w:r>
              <w:rPr>
                <w:rFonts w:hint="default" w:ascii="Times New Roman" w:hAnsi="Times New Roman" w:eastAsia="宋体" w:cs="Times New Roman"/>
                <w:b/>
                <w:i w:val="0"/>
                <w:color w:val="auto"/>
                <w:kern w:val="0"/>
                <w:sz w:val="21"/>
                <w:szCs w:val="21"/>
                <w:highlight w:val="none"/>
                <w:u w:val="none"/>
                <w:lang w:val="en-US" w:eastAsia="zh-CN" w:bidi="ar"/>
              </w:rPr>
              <w:t xml:space="preserve">193.69 </w:t>
            </w:r>
          </w:p>
        </w:tc>
        <w:tc>
          <w:tcPr>
            <w:tcW w:w="103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Times New Roman" w:hAnsi="Times New Roman" w:eastAsia="宋体" w:cs="Times New Roman"/>
                <w:i w:val="0"/>
                <w:color w:val="auto"/>
                <w:kern w:val="0"/>
                <w:sz w:val="21"/>
                <w:szCs w:val="21"/>
                <w:highlight w:val="none"/>
                <w:u w:val="none"/>
                <w:lang w:val="en-US" w:eastAsia="zh-CN" w:bidi="ar"/>
              </w:rPr>
            </w:pPr>
            <w:r>
              <w:rPr>
                <w:rFonts w:hint="default" w:ascii="Times New Roman" w:hAnsi="Times New Roman" w:eastAsia="宋体" w:cs="Times New Roman"/>
                <w:b/>
                <w:i w:val="0"/>
                <w:color w:val="auto"/>
                <w:kern w:val="0"/>
                <w:sz w:val="21"/>
                <w:szCs w:val="21"/>
                <w:highlight w:val="none"/>
                <w:u w:val="none"/>
                <w:lang w:val="en-US" w:eastAsia="zh-CN" w:bidi="ar"/>
              </w:rPr>
              <w:t xml:space="preserve">193.69 </w:t>
            </w:r>
          </w:p>
        </w:tc>
        <w:tc>
          <w:tcPr>
            <w:tcW w:w="103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color w:val="auto"/>
                <w:kern w:val="0"/>
                <w:sz w:val="21"/>
                <w:szCs w:val="21"/>
                <w:highlight w:val="none"/>
                <w:u w:val="none"/>
                <w:lang w:val="en-US" w:eastAsia="zh-CN" w:bidi="ar"/>
              </w:rPr>
            </w:pPr>
            <w:r>
              <w:rPr>
                <w:rFonts w:hint="default" w:ascii="Times New Roman" w:hAnsi="Times New Roman" w:eastAsia="宋体" w:cs="Times New Roman"/>
                <w:b/>
                <w:i w:val="0"/>
                <w:color w:val="auto"/>
                <w:kern w:val="0"/>
                <w:sz w:val="21"/>
                <w:szCs w:val="21"/>
                <w:highlight w:val="none"/>
                <w:u w:val="none"/>
                <w:lang w:val="en-US" w:eastAsia="zh-CN" w:bidi="ar"/>
              </w:rPr>
              <w:t xml:space="preserve">193.69 </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Times New Roman" w:hAnsi="Times New Roman" w:eastAsia="宋体" w:cs="Times New Roman"/>
                <w:i w:val="0"/>
                <w:color w:val="auto"/>
                <w:kern w:val="0"/>
                <w:sz w:val="21"/>
                <w:szCs w:val="21"/>
                <w:highlight w:val="none"/>
                <w:u w:val="none"/>
                <w:lang w:val="en-US" w:eastAsia="zh-CN" w:bidi="ar"/>
              </w:rPr>
            </w:pPr>
            <w:r>
              <w:rPr>
                <w:rFonts w:hint="default" w:ascii="Times New Roman" w:hAnsi="Times New Roman" w:eastAsia="宋体" w:cs="Times New Roman"/>
                <w:b/>
                <w:i w:val="0"/>
                <w:color w:val="auto"/>
                <w:kern w:val="0"/>
                <w:sz w:val="21"/>
                <w:szCs w:val="21"/>
                <w:highlight w:val="none"/>
                <w:u w:val="none"/>
                <w:lang w:val="en-US" w:eastAsia="zh-CN" w:bidi="ar"/>
              </w:rPr>
              <w:t xml:space="preserve">193.69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b/>
                <w:i w:val="0"/>
                <w:color w:val="auto"/>
                <w:sz w:val="21"/>
                <w:szCs w:val="21"/>
                <w:highlight w:val="none"/>
                <w:u w:val="none"/>
              </w:rPr>
            </w:pPr>
            <w:r>
              <w:rPr>
                <w:rFonts w:hint="default" w:ascii="Times New Roman" w:hAnsi="Times New Roman" w:eastAsia="宋体" w:cs="Times New Roman"/>
                <w:b/>
                <w:i w:val="0"/>
                <w:color w:val="auto"/>
                <w:kern w:val="0"/>
                <w:sz w:val="21"/>
                <w:szCs w:val="21"/>
                <w:highlight w:val="none"/>
                <w:u w:val="none"/>
                <w:lang w:val="en-US" w:eastAsia="zh-CN" w:bidi="ar"/>
              </w:rPr>
              <w:t>1</w:t>
            </w:r>
          </w:p>
        </w:tc>
        <w:tc>
          <w:tcPr>
            <w:tcW w:w="64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i w:val="0"/>
                <w:color w:val="auto"/>
                <w:sz w:val="21"/>
                <w:szCs w:val="21"/>
                <w:highlight w:val="none"/>
                <w:u w:val="none"/>
              </w:rPr>
            </w:pPr>
            <w:r>
              <w:rPr>
                <w:rFonts w:hint="eastAsia" w:ascii="宋体" w:hAnsi="宋体" w:eastAsia="宋体" w:cs="宋体"/>
                <w:b/>
                <w:i w:val="0"/>
                <w:color w:val="auto"/>
                <w:kern w:val="0"/>
                <w:sz w:val="21"/>
                <w:szCs w:val="21"/>
                <w:highlight w:val="none"/>
                <w:u w:val="none"/>
                <w:lang w:val="en-US" w:eastAsia="zh-CN" w:bidi="ar"/>
              </w:rPr>
              <w:t>效益流量</w:t>
            </w:r>
            <w:r>
              <w:rPr>
                <w:rFonts w:hint="default" w:ascii="Times New Roman" w:hAnsi="Times New Roman" w:eastAsia="宋体" w:cs="Times New Roman"/>
                <w:b/>
                <w:i w:val="0"/>
                <w:color w:val="auto"/>
                <w:kern w:val="0"/>
                <w:sz w:val="21"/>
                <w:szCs w:val="21"/>
                <w:highlight w:val="none"/>
                <w:u w:val="none"/>
                <w:lang w:val="en-US" w:eastAsia="zh-CN" w:bidi="ar"/>
              </w:rPr>
              <w:t>B</w:t>
            </w:r>
          </w:p>
        </w:tc>
        <w:tc>
          <w:tcPr>
            <w:tcW w:w="111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宋体" w:cs="Times New Roman"/>
                <w:b/>
                <w:i w:val="0"/>
                <w:color w:val="auto"/>
                <w:sz w:val="21"/>
                <w:szCs w:val="21"/>
                <w:highlight w:val="none"/>
                <w:u w:val="none"/>
              </w:rPr>
            </w:pPr>
          </w:p>
        </w:tc>
        <w:tc>
          <w:tcPr>
            <w:tcW w:w="110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b/>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 xml:space="preserve">128.40 </w:t>
            </w:r>
          </w:p>
        </w:tc>
        <w:tc>
          <w:tcPr>
            <w:tcW w:w="110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b/>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 xml:space="preserve">128.40 </w:t>
            </w:r>
          </w:p>
        </w:tc>
        <w:tc>
          <w:tcPr>
            <w:tcW w:w="110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b/>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 xml:space="preserve">128.40 </w:t>
            </w:r>
          </w:p>
        </w:tc>
        <w:tc>
          <w:tcPr>
            <w:tcW w:w="9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b/>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 xml:space="preserve">128.40 </w:t>
            </w:r>
          </w:p>
        </w:tc>
        <w:tc>
          <w:tcPr>
            <w:tcW w:w="9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b/>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 xml:space="preserve">128.40 </w:t>
            </w:r>
          </w:p>
        </w:tc>
        <w:tc>
          <w:tcPr>
            <w:tcW w:w="99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b/>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 xml:space="preserve">128.40 </w:t>
            </w:r>
          </w:p>
        </w:tc>
        <w:tc>
          <w:tcPr>
            <w:tcW w:w="103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b/>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 xml:space="preserve">128.40 </w:t>
            </w:r>
          </w:p>
        </w:tc>
        <w:tc>
          <w:tcPr>
            <w:tcW w:w="103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b/>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 xml:space="preserve">128.40 </w:t>
            </w:r>
          </w:p>
        </w:tc>
        <w:tc>
          <w:tcPr>
            <w:tcW w:w="103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b/>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 xml:space="preserve">128.40 </w:t>
            </w:r>
          </w:p>
        </w:tc>
        <w:tc>
          <w:tcPr>
            <w:tcW w:w="117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b/>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 xml:space="preserve">128.40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67" w:hRule="atLeast"/>
        </w:trPr>
        <w:tc>
          <w:tcPr>
            <w:tcW w:w="2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1.1</w:t>
            </w:r>
          </w:p>
        </w:tc>
        <w:tc>
          <w:tcPr>
            <w:tcW w:w="64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防洪效益</w:t>
            </w:r>
          </w:p>
        </w:tc>
        <w:tc>
          <w:tcPr>
            <w:tcW w:w="111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宋体" w:cs="Times New Roman"/>
                <w:i w:val="0"/>
                <w:color w:val="auto"/>
                <w:sz w:val="21"/>
                <w:szCs w:val="21"/>
                <w:highlight w:val="none"/>
                <w:u w:val="none"/>
              </w:rPr>
            </w:pPr>
          </w:p>
        </w:tc>
        <w:tc>
          <w:tcPr>
            <w:tcW w:w="110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 xml:space="preserve">107.00 </w:t>
            </w:r>
          </w:p>
        </w:tc>
        <w:tc>
          <w:tcPr>
            <w:tcW w:w="110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 xml:space="preserve">107.00 </w:t>
            </w:r>
          </w:p>
        </w:tc>
        <w:tc>
          <w:tcPr>
            <w:tcW w:w="110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 xml:space="preserve">107.00 </w:t>
            </w:r>
          </w:p>
        </w:tc>
        <w:tc>
          <w:tcPr>
            <w:tcW w:w="9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 xml:space="preserve">107.00 </w:t>
            </w:r>
          </w:p>
        </w:tc>
        <w:tc>
          <w:tcPr>
            <w:tcW w:w="9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 xml:space="preserve">107.00 </w:t>
            </w:r>
          </w:p>
        </w:tc>
        <w:tc>
          <w:tcPr>
            <w:tcW w:w="99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 xml:space="preserve">107.00 </w:t>
            </w:r>
          </w:p>
        </w:tc>
        <w:tc>
          <w:tcPr>
            <w:tcW w:w="103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 xml:space="preserve">107.00 </w:t>
            </w:r>
          </w:p>
        </w:tc>
        <w:tc>
          <w:tcPr>
            <w:tcW w:w="103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 xml:space="preserve">107.00 </w:t>
            </w:r>
          </w:p>
        </w:tc>
        <w:tc>
          <w:tcPr>
            <w:tcW w:w="103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 xml:space="preserve">107.00 </w:t>
            </w:r>
          </w:p>
        </w:tc>
        <w:tc>
          <w:tcPr>
            <w:tcW w:w="117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 xml:space="preserve">107.00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kinsoku/>
              <w:wordWrap/>
              <w:overflowPunct/>
              <w:topLinePunct w:val="0"/>
              <w:autoSpaceDE/>
              <w:autoSpaceDN/>
              <w:bidi w:val="0"/>
              <w:adjustRightInd/>
              <w:snapToGrid/>
              <w:ind w:firstLine="0" w:firstLineChars="0"/>
              <w:jc w:val="center"/>
              <w:rPr>
                <w:rFonts w:hint="default" w:ascii="Times New Roman" w:hAnsi="Times New Roman" w:eastAsia="宋体" w:cs="Times New Roman"/>
                <w:i w:val="0"/>
                <w:color w:val="auto"/>
                <w:kern w:val="0"/>
                <w:sz w:val="21"/>
                <w:szCs w:val="21"/>
                <w:highlight w:val="none"/>
                <w:u w:val="none"/>
                <w:lang w:val="en-US" w:eastAsia="zh-CN" w:bidi="ar"/>
              </w:rPr>
            </w:pPr>
          </w:p>
        </w:tc>
        <w:tc>
          <w:tcPr>
            <w:tcW w:w="64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直接防洪效益</w:t>
            </w:r>
          </w:p>
        </w:tc>
        <w:tc>
          <w:tcPr>
            <w:tcW w:w="111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宋体" w:cs="Times New Roman"/>
                <w:i w:val="0"/>
                <w:color w:val="auto"/>
                <w:sz w:val="21"/>
                <w:szCs w:val="21"/>
                <w:highlight w:val="none"/>
                <w:u w:val="none"/>
              </w:rPr>
            </w:pPr>
          </w:p>
        </w:tc>
        <w:tc>
          <w:tcPr>
            <w:tcW w:w="110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color w:val="auto"/>
                <w:kern w:val="0"/>
                <w:sz w:val="21"/>
                <w:szCs w:val="21"/>
                <w:highlight w:val="none"/>
                <w:u w:val="none"/>
                <w:lang w:val="en-US" w:eastAsia="zh-CN" w:bidi="ar"/>
              </w:rPr>
            </w:pPr>
            <w:r>
              <w:rPr>
                <w:rFonts w:hint="default" w:ascii="Times New Roman" w:hAnsi="Times New Roman" w:eastAsia="宋体" w:cs="Times New Roman"/>
                <w:i w:val="0"/>
                <w:color w:val="auto"/>
                <w:kern w:val="0"/>
                <w:sz w:val="21"/>
                <w:szCs w:val="21"/>
                <w:highlight w:val="none"/>
                <w:u w:val="none"/>
                <w:lang w:val="en-US" w:eastAsia="zh-CN" w:bidi="ar"/>
              </w:rPr>
              <w:t xml:space="preserve">21.40 </w:t>
            </w:r>
          </w:p>
        </w:tc>
        <w:tc>
          <w:tcPr>
            <w:tcW w:w="110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color w:val="auto"/>
                <w:kern w:val="0"/>
                <w:sz w:val="21"/>
                <w:szCs w:val="21"/>
                <w:highlight w:val="none"/>
                <w:u w:val="none"/>
                <w:lang w:val="en-US" w:eastAsia="zh-CN" w:bidi="ar"/>
              </w:rPr>
            </w:pPr>
            <w:r>
              <w:rPr>
                <w:rFonts w:hint="default" w:ascii="Times New Roman" w:hAnsi="Times New Roman" w:eastAsia="宋体" w:cs="Times New Roman"/>
                <w:i w:val="0"/>
                <w:color w:val="auto"/>
                <w:kern w:val="0"/>
                <w:sz w:val="21"/>
                <w:szCs w:val="21"/>
                <w:highlight w:val="none"/>
                <w:u w:val="none"/>
                <w:lang w:val="en-US" w:eastAsia="zh-CN" w:bidi="ar"/>
              </w:rPr>
              <w:t xml:space="preserve">21.40 </w:t>
            </w:r>
          </w:p>
        </w:tc>
        <w:tc>
          <w:tcPr>
            <w:tcW w:w="110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color w:val="auto"/>
                <w:kern w:val="0"/>
                <w:sz w:val="21"/>
                <w:szCs w:val="21"/>
                <w:highlight w:val="none"/>
                <w:u w:val="none"/>
                <w:lang w:val="en-US" w:eastAsia="zh-CN" w:bidi="ar"/>
              </w:rPr>
            </w:pPr>
            <w:r>
              <w:rPr>
                <w:rFonts w:hint="default" w:ascii="Times New Roman" w:hAnsi="Times New Roman" w:eastAsia="宋体" w:cs="Times New Roman"/>
                <w:i w:val="0"/>
                <w:color w:val="auto"/>
                <w:kern w:val="0"/>
                <w:sz w:val="21"/>
                <w:szCs w:val="21"/>
                <w:highlight w:val="none"/>
                <w:u w:val="none"/>
                <w:lang w:val="en-US" w:eastAsia="zh-CN" w:bidi="ar"/>
              </w:rPr>
              <w:t xml:space="preserve">21.40 </w:t>
            </w:r>
          </w:p>
        </w:tc>
        <w:tc>
          <w:tcPr>
            <w:tcW w:w="9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color w:val="auto"/>
                <w:kern w:val="0"/>
                <w:sz w:val="21"/>
                <w:szCs w:val="21"/>
                <w:highlight w:val="none"/>
                <w:u w:val="none"/>
                <w:lang w:val="en-US" w:eastAsia="zh-CN" w:bidi="ar"/>
              </w:rPr>
            </w:pPr>
            <w:r>
              <w:rPr>
                <w:rFonts w:hint="default" w:ascii="Times New Roman" w:hAnsi="Times New Roman" w:eastAsia="宋体" w:cs="Times New Roman"/>
                <w:i w:val="0"/>
                <w:color w:val="auto"/>
                <w:kern w:val="0"/>
                <w:sz w:val="21"/>
                <w:szCs w:val="21"/>
                <w:highlight w:val="none"/>
                <w:u w:val="none"/>
                <w:lang w:val="en-US" w:eastAsia="zh-CN" w:bidi="ar"/>
              </w:rPr>
              <w:t xml:space="preserve">21.40 </w:t>
            </w:r>
          </w:p>
        </w:tc>
        <w:tc>
          <w:tcPr>
            <w:tcW w:w="9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color w:val="auto"/>
                <w:kern w:val="0"/>
                <w:sz w:val="21"/>
                <w:szCs w:val="21"/>
                <w:highlight w:val="none"/>
                <w:u w:val="none"/>
                <w:lang w:val="en-US" w:eastAsia="zh-CN" w:bidi="ar"/>
              </w:rPr>
            </w:pPr>
            <w:r>
              <w:rPr>
                <w:rFonts w:hint="default" w:ascii="Times New Roman" w:hAnsi="Times New Roman" w:eastAsia="宋体" w:cs="Times New Roman"/>
                <w:i w:val="0"/>
                <w:color w:val="auto"/>
                <w:kern w:val="0"/>
                <w:sz w:val="21"/>
                <w:szCs w:val="21"/>
                <w:highlight w:val="none"/>
                <w:u w:val="none"/>
                <w:lang w:val="en-US" w:eastAsia="zh-CN" w:bidi="ar"/>
              </w:rPr>
              <w:t xml:space="preserve">21.40 </w:t>
            </w:r>
          </w:p>
        </w:tc>
        <w:tc>
          <w:tcPr>
            <w:tcW w:w="99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color w:val="auto"/>
                <w:kern w:val="0"/>
                <w:sz w:val="21"/>
                <w:szCs w:val="21"/>
                <w:highlight w:val="none"/>
                <w:u w:val="none"/>
                <w:lang w:val="en-US" w:eastAsia="zh-CN" w:bidi="ar"/>
              </w:rPr>
            </w:pPr>
            <w:r>
              <w:rPr>
                <w:rFonts w:hint="default" w:ascii="Times New Roman" w:hAnsi="Times New Roman" w:eastAsia="宋体" w:cs="Times New Roman"/>
                <w:i w:val="0"/>
                <w:color w:val="auto"/>
                <w:kern w:val="0"/>
                <w:sz w:val="21"/>
                <w:szCs w:val="21"/>
                <w:highlight w:val="none"/>
                <w:u w:val="none"/>
                <w:lang w:val="en-US" w:eastAsia="zh-CN" w:bidi="ar"/>
              </w:rPr>
              <w:t xml:space="preserve">21.40 </w:t>
            </w:r>
          </w:p>
        </w:tc>
        <w:tc>
          <w:tcPr>
            <w:tcW w:w="103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color w:val="auto"/>
                <w:kern w:val="0"/>
                <w:sz w:val="21"/>
                <w:szCs w:val="21"/>
                <w:highlight w:val="none"/>
                <w:u w:val="none"/>
                <w:lang w:val="en-US" w:eastAsia="zh-CN" w:bidi="ar"/>
              </w:rPr>
            </w:pPr>
            <w:r>
              <w:rPr>
                <w:rFonts w:hint="default" w:ascii="Times New Roman" w:hAnsi="Times New Roman" w:eastAsia="宋体" w:cs="Times New Roman"/>
                <w:i w:val="0"/>
                <w:color w:val="auto"/>
                <w:kern w:val="0"/>
                <w:sz w:val="21"/>
                <w:szCs w:val="21"/>
                <w:highlight w:val="none"/>
                <w:u w:val="none"/>
                <w:lang w:val="en-US" w:eastAsia="zh-CN" w:bidi="ar"/>
              </w:rPr>
              <w:t xml:space="preserve">21.40 </w:t>
            </w:r>
          </w:p>
        </w:tc>
        <w:tc>
          <w:tcPr>
            <w:tcW w:w="103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color w:val="auto"/>
                <w:kern w:val="0"/>
                <w:sz w:val="21"/>
                <w:szCs w:val="21"/>
                <w:highlight w:val="none"/>
                <w:u w:val="none"/>
                <w:lang w:val="en-US" w:eastAsia="zh-CN" w:bidi="ar"/>
              </w:rPr>
            </w:pPr>
            <w:r>
              <w:rPr>
                <w:rFonts w:hint="default" w:ascii="Times New Roman" w:hAnsi="Times New Roman" w:eastAsia="宋体" w:cs="Times New Roman"/>
                <w:i w:val="0"/>
                <w:color w:val="auto"/>
                <w:kern w:val="0"/>
                <w:sz w:val="21"/>
                <w:szCs w:val="21"/>
                <w:highlight w:val="none"/>
                <w:u w:val="none"/>
                <w:lang w:val="en-US" w:eastAsia="zh-CN" w:bidi="ar"/>
              </w:rPr>
              <w:t xml:space="preserve">21.40 </w:t>
            </w:r>
          </w:p>
        </w:tc>
        <w:tc>
          <w:tcPr>
            <w:tcW w:w="103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color w:val="auto"/>
                <w:kern w:val="0"/>
                <w:sz w:val="21"/>
                <w:szCs w:val="21"/>
                <w:highlight w:val="none"/>
                <w:u w:val="none"/>
                <w:lang w:val="en-US" w:eastAsia="zh-CN" w:bidi="ar"/>
              </w:rPr>
            </w:pPr>
            <w:r>
              <w:rPr>
                <w:rFonts w:hint="default" w:ascii="Times New Roman" w:hAnsi="Times New Roman" w:eastAsia="宋体" w:cs="Times New Roman"/>
                <w:i w:val="0"/>
                <w:color w:val="auto"/>
                <w:kern w:val="0"/>
                <w:sz w:val="21"/>
                <w:szCs w:val="21"/>
                <w:highlight w:val="none"/>
                <w:u w:val="none"/>
                <w:lang w:val="en-US" w:eastAsia="zh-CN" w:bidi="ar"/>
              </w:rPr>
              <w:t xml:space="preserve">21.40 </w:t>
            </w:r>
          </w:p>
        </w:tc>
        <w:tc>
          <w:tcPr>
            <w:tcW w:w="117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color w:val="auto"/>
                <w:kern w:val="0"/>
                <w:sz w:val="21"/>
                <w:szCs w:val="21"/>
                <w:highlight w:val="none"/>
                <w:u w:val="none"/>
                <w:lang w:val="en-US" w:eastAsia="zh-CN" w:bidi="ar"/>
              </w:rPr>
            </w:pPr>
            <w:r>
              <w:rPr>
                <w:rFonts w:hint="default" w:ascii="Times New Roman" w:hAnsi="Times New Roman" w:eastAsia="宋体" w:cs="Times New Roman"/>
                <w:i w:val="0"/>
                <w:color w:val="auto"/>
                <w:kern w:val="0"/>
                <w:sz w:val="21"/>
                <w:szCs w:val="21"/>
                <w:highlight w:val="none"/>
                <w:u w:val="none"/>
                <w:lang w:val="en-US" w:eastAsia="zh-CN" w:bidi="ar"/>
              </w:rPr>
              <w:t xml:space="preserve">21.40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kinsoku/>
              <w:wordWrap/>
              <w:overflowPunct/>
              <w:topLinePunct w:val="0"/>
              <w:autoSpaceDE/>
              <w:autoSpaceDN/>
              <w:bidi w:val="0"/>
              <w:adjustRightInd/>
              <w:snapToGrid/>
              <w:ind w:firstLine="0" w:firstLineChars="0"/>
              <w:jc w:val="center"/>
              <w:rPr>
                <w:rFonts w:hint="default" w:ascii="Times New Roman" w:hAnsi="Times New Roman" w:eastAsia="宋体" w:cs="Times New Roman"/>
                <w:i w:val="0"/>
                <w:color w:val="auto"/>
                <w:kern w:val="0"/>
                <w:sz w:val="21"/>
                <w:szCs w:val="21"/>
                <w:highlight w:val="none"/>
                <w:u w:val="none"/>
                <w:lang w:val="en-US" w:eastAsia="zh-CN" w:bidi="ar"/>
              </w:rPr>
            </w:pPr>
          </w:p>
        </w:tc>
        <w:tc>
          <w:tcPr>
            <w:tcW w:w="64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间接防洪效益</w:t>
            </w:r>
          </w:p>
        </w:tc>
        <w:tc>
          <w:tcPr>
            <w:tcW w:w="111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宋体" w:cs="Times New Roman"/>
                <w:i w:val="0"/>
                <w:color w:val="auto"/>
                <w:sz w:val="21"/>
                <w:szCs w:val="21"/>
                <w:highlight w:val="none"/>
                <w:u w:val="none"/>
              </w:rPr>
            </w:pPr>
          </w:p>
        </w:tc>
        <w:tc>
          <w:tcPr>
            <w:tcW w:w="110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color w:val="auto"/>
                <w:kern w:val="0"/>
                <w:sz w:val="21"/>
                <w:szCs w:val="21"/>
                <w:highlight w:val="none"/>
                <w:u w:val="none"/>
                <w:lang w:val="en-US" w:eastAsia="zh-CN" w:bidi="ar"/>
              </w:rPr>
            </w:pPr>
            <w:r>
              <w:rPr>
                <w:rFonts w:hint="default" w:ascii="Times New Roman" w:hAnsi="Times New Roman" w:eastAsia="宋体" w:cs="Times New Roman"/>
                <w:i w:val="0"/>
                <w:color w:val="auto"/>
                <w:kern w:val="0"/>
                <w:sz w:val="21"/>
                <w:szCs w:val="21"/>
                <w:highlight w:val="none"/>
                <w:u w:val="none"/>
                <w:lang w:val="en-US" w:eastAsia="zh-CN" w:bidi="ar"/>
              </w:rPr>
              <w:t xml:space="preserve">41.31 </w:t>
            </w:r>
          </w:p>
        </w:tc>
        <w:tc>
          <w:tcPr>
            <w:tcW w:w="110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color w:val="auto"/>
                <w:kern w:val="0"/>
                <w:sz w:val="21"/>
                <w:szCs w:val="21"/>
                <w:highlight w:val="none"/>
                <w:u w:val="none"/>
                <w:lang w:val="en-US" w:eastAsia="zh-CN" w:bidi="ar"/>
              </w:rPr>
            </w:pPr>
            <w:r>
              <w:rPr>
                <w:rFonts w:hint="default" w:ascii="Times New Roman" w:hAnsi="Times New Roman" w:eastAsia="宋体" w:cs="Times New Roman"/>
                <w:i w:val="0"/>
                <w:color w:val="auto"/>
                <w:kern w:val="0"/>
                <w:sz w:val="21"/>
                <w:szCs w:val="21"/>
                <w:highlight w:val="none"/>
                <w:u w:val="none"/>
                <w:lang w:val="en-US" w:eastAsia="zh-CN" w:bidi="ar"/>
              </w:rPr>
              <w:t xml:space="preserve">41.31 </w:t>
            </w:r>
          </w:p>
        </w:tc>
        <w:tc>
          <w:tcPr>
            <w:tcW w:w="110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color w:val="auto"/>
                <w:kern w:val="0"/>
                <w:sz w:val="21"/>
                <w:szCs w:val="21"/>
                <w:highlight w:val="none"/>
                <w:u w:val="none"/>
                <w:lang w:val="en-US" w:eastAsia="zh-CN" w:bidi="ar"/>
              </w:rPr>
            </w:pPr>
            <w:r>
              <w:rPr>
                <w:rFonts w:hint="default" w:ascii="Times New Roman" w:hAnsi="Times New Roman" w:eastAsia="宋体" w:cs="Times New Roman"/>
                <w:i w:val="0"/>
                <w:color w:val="auto"/>
                <w:kern w:val="0"/>
                <w:sz w:val="21"/>
                <w:szCs w:val="21"/>
                <w:highlight w:val="none"/>
                <w:u w:val="none"/>
                <w:lang w:val="en-US" w:eastAsia="zh-CN" w:bidi="ar"/>
              </w:rPr>
              <w:t xml:space="preserve">41.31 </w:t>
            </w:r>
          </w:p>
        </w:tc>
        <w:tc>
          <w:tcPr>
            <w:tcW w:w="9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color w:val="auto"/>
                <w:kern w:val="0"/>
                <w:sz w:val="21"/>
                <w:szCs w:val="21"/>
                <w:highlight w:val="none"/>
                <w:u w:val="none"/>
                <w:lang w:val="en-US" w:eastAsia="zh-CN" w:bidi="ar"/>
              </w:rPr>
            </w:pPr>
            <w:r>
              <w:rPr>
                <w:rFonts w:hint="default" w:ascii="Times New Roman" w:hAnsi="Times New Roman" w:eastAsia="宋体" w:cs="Times New Roman"/>
                <w:i w:val="0"/>
                <w:color w:val="auto"/>
                <w:kern w:val="0"/>
                <w:sz w:val="21"/>
                <w:szCs w:val="21"/>
                <w:highlight w:val="none"/>
                <w:u w:val="none"/>
                <w:lang w:val="en-US" w:eastAsia="zh-CN" w:bidi="ar"/>
              </w:rPr>
              <w:t xml:space="preserve">41.31 </w:t>
            </w:r>
          </w:p>
        </w:tc>
        <w:tc>
          <w:tcPr>
            <w:tcW w:w="9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color w:val="auto"/>
                <w:kern w:val="0"/>
                <w:sz w:val="21"/>
                <w:szCs w:val="21"/>
                <w:highlight w:val="none"/>
                <w:u w:val="none"/>
                <w:lang w:val="en-US" w:eastAsia="zh-CN" w:bidi="ar"/>
              </w:rPr>
            </w:pPr>
            <w:r>
              <w:rPr>
                <w:rFonts w:hint="default" w:ascii="Times New Roman" w:hAnsi="Times New Roman" w:eastAsia="宋体" w:cs="Times New Roman"/>
                <w:i w:val="0"/>
                <w:color w:val="auto"/>
                <w:kern w:val="0"/>
                <w:sz w:val="21"/>
                <w:szCs w:val="21"/>
                <w:highlight w:val="none"/>
                <w:u w:val="none"/>
                <w:lang w:val="en-US" w:eastAsia="zh-CN" w:bidi="ar"/>
              </w:rPr>
              <w:t xml:space="preserve">41.31 </w:t>
            </w:r>
          </w:p>
        </w:tc>
        <w:tc>
          <w:tcPr>
            <w:tcW w:w="99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color w:val="auto"/>
                <w:kern w:val="0"/>
                <w:sz w:val="21"/>
                <w:szCs w:val="21"/>
                <w:highlight w:val="none"/>
                <w:u w:val="none"/>
                <w:lang w:val="en-US" w:eastAsia="zh-CN" w:bidi="ar"/>
              </w:rPr>
            </w:pPr>
            <w:r>
              <w:rPr>
                <w:rFonts w:hint="default" w:ascii="Times New Roman" w:hAnsi="Times New Roman" w:eastAsia="宋体" w:cs="Times New Roman"/>
                <w:i w:val="0"/>
                <w:color w:val="auto"/>
                <w:kern w:val="0"/>
                <w:sz w:val="21"/>
                <w:szCs w:val="21"/>
                <w:highlight w:val="none"/>
                <w:u w:val="none"/>
                <w:lang w:val="en-US" w:eastAsia="zh-CN" w:bidi="ar"/>
              </w:rPr>
              <w:t xml:space="preserve">41.31 </w:t>
            </w:r>
          </w:p>
        </w:tc>
        <w:tc>
          <w:tcPr>
            <w:tcW w:w="103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color w:val="auto"/>
                <w:kern w:val="0"/>
                <w:sz w:val="21"/>
                <w:szCs w:val="21"/>
                <w:highlight w:val="none"/>
                <w:u w:val="none"/>
                <w:lang w:val="en-US" w:eastAsia="zh-CN" w:bidi="ar"/>
              </w:rPr>
            </w:pPr>
            <w:r>
              <w:rPr>
                <w:rFonts w:hint="default" w:ascii="Times New Roman" w:hAnsi="Times New Roman" w:eastAsia="宋体" w:cs="Times New Roman"/>
                <w:i w:val="0"/>
                <w:color w:val="auto"/>
                <w:kern w:val="0"/>
                <w:sz w:val="21"/>
                <w:szCs w:val="21"/>
                <w:highlight w:val="none"/>
                <w:u w:val="none"/>
                <w:lang w:val="en-US" w:eastAsia="zh-CN" w:bidi="ar"/>
              </w:rPr>
              <w:t xml:space="preserve">41.31 </w:t>
            </w:r>
          </w:p>
        </w:tc>
        <w:tc>
          <w:tcPr>
            <w:tcW w:w="103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color w:val="auto"/>
                <w:kern w:val="0"/>
                <w:sz w:val="21"/>
                <w:szCs w:val="21"/>
                <w:highlight w:val="none"/>
                <w:u w:val="none"/>
                <w:lang w:val="en-US" w:eastAsia="zh-CN" w:bidi="ar"/>
              </w:rPr>
            </w:pPr>
            <w:r>
              <w:rPr>
                <w:rFonts w:hint="default" w:ascii="Times New Roman" w:hAnsi="Times New Roman" w:eastAsia="宋体" w:cs="Times New Roman"/>
                <w:i w:val="0"/>
                <w:color w:val="auto"/>
                <w:kern w:val="0"/>
                <w:sz w:val="21"/>
                <w:szCs w:val="21"/>
                <w:highlight w:val="none"/>
                <w:u w:val="none"/>
                <w:lang w:val="en-US" w:eastAsia="zh-CN" w:bidi="ar"/>
              </w:rPr>
              <w:t xml:space="preserve">41.31 </w:t>
            </w:r>
          </w:p>
        </w:tc>
        <w:tc>
          <w:tcPr>
            <w:tcW w:w="103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color w:val="auto"/>
                <w:kern w:val="0"/>
                <w:sz w:val="21"/>
                <w:szCs w:val="21"/>
                <w:highlight w:val="none"/>
                <w:u w:val="none"/>
                <w:lang w:val="en-US" w:eastAsia="zh-CN" w:bidi="ar"/>
              </w:rPr>
            </w:pPr>
            <w:r>
              <w:rPr>
                <w:rFonts w:hint="default" w:ascii="Times New Roman" w:hAnsi="Times New Roman" w:eastAsia="宋体" w:cs="Times New Roman"/>
                <w:i w:val="0"/>
                <w:color w:val="auto"/>
                <w:kern w:val="0"/>
                <w:sz w:val="21"/>
                <w:szCs w:val="21"/>
                <w:highlight w:val="none"/>
                <w:u w:val="none"/>
                <w:lang w:val="en-US" w:eastAsia="zh-CN" w:bidi="ar"/>
              </w:rPr>
              <w:t xml:space="preserve">41.31 </w:t>
            </w:r>
          </w:p>
        </w:tc>
        <w:tc>
          <w:tcPr>
            <w:tcW w:w="117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color w:val="auto"/>
                <w:kern w:val="0"/>
                <w:sz w:val="21"/>
                <w:szCs w:val="21"/>
                <w:highlight w:val="none"/>
                <w:u w:val="none"/>
                <w:lang w:val="en-US" w:eastAsia="zh-CN" w:bidi="ar"/>
              </w:rPr>
            </w:pPr>
            <w:r>
              <w:rPr>
                <w:rFonts w:hint="default" w:ascii="Times New Roman" w:hAnsi="Times New Roman" w:eastAsia="宋体" w:cs="Times New Roman"/>
                <w:i w:val="0"/>
                <w:color w:val="auto"/>
                <w:kern w:val="0"/>
                <w:sz w:val="21"/>
                <w:szCs w:val="21"/>
                <w:highlight w:val="none"/>
                <w:u w:val="none"/>
                <w:lang w:val="en-US" w:eastAsia="zh-CN" w:bidi="ar"/>
              </w:rPr>
              <w:t xml:space="preserve">41.31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color w:val="auto"/>
                <w:kern w:val="0"/>
                <w:sz w:val="21"/>
                <w:szCs w:val="21"/>
                <w:highlight w:val="none"/>
                <w:u w:val="none"/>
                <w:lang w:val="en-US" w:eastAsia="zh-CN" w:bidi="ar"/>
              </w:rPr>
            </w:pPr>
            <w:r>
              <w:rPr>
                <w:rFonts w:hint="default" w:ascii="Times New Roman" w:hAnsi="Times New Roman" w:eastAsia="宋体" w:cs="Times New Roman"/>
                <w:i w:val="0"/>
                <w:color w:val="auto"/>
                <w:kern w:val="0"/>
                <w:sz w:val="21"/>
                <w:szCs w:val="21"/>
                <w:highlight w:val="none"/>
                <w:u w:val="none"/>
                <w:lang w:val="en-US" w:eastAsia="zh-CN" w:bidi="ar"/>
              </w:rPr>
              <w:t>1.2</w:t>
            </w:r>
          </w:p>
        </w:tc>
        <w:tc>
          <w:tcPr>
            <w:tcW w:w="64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灌溉效益</w:t>
            </w:r>
          </w:p>
        </w:tc>
        <w:tc>
          <w:tcPr>
            <w:tcW w:w="111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宋体" w:cs="Times New Roman"/>
                <w:i w:val="0"/>
                <w:color w:val="auto"/>
                <w:sz w:val="21"/>
                <w:szCs w:val="21"/>
                <w:highlight w:val="none"/>
                <w:u w:val="none"/>
              </w:rPr>
            </w:pPr>
          </w:p>
        </w:tc>
        <w:tc>
          <w:tcPr>
            <w:tcW w:w="110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color w:val="auto"/>
                <w:kern w:val="0"/>
                <w:sz w:val="21"/>
                <w:szCs w:val="21"/>
                <w:highlight w:val="none"/>
                <w:u w:val="none"/>
                <w:lang w:val="en-US" w:eastAsia="zh-CN" w:bidi="ar"/>
              </w:rPr>
            </w:pPr>
            <w:r>
              <w:rPr>
                <w:rFonts w:hint="default" w:ascii="Times New Roman" w:hAnsi="Times New Roman" w:eastAsia="宋体" w:cs="Times New Roman"/>
                <w:i w:val="0"/>
                <w:color w:val="auto"/>
                <w:kern w:val="0"/>
                <w:sz w:val="21"/>
                <w:szCs w:val="21"/>
                <w:highlight w:val="none"/>
                <w:u w:val="none"/>
                <w:lang w:val="en-US" w:eastAsia="zh-CN" w:bidi="ar"/>
              </w:rPr>
              <w:t xml:space="preserve">23.98 </w:t>
            </w:r>
          </w:p>
        </w:tc>
        <w:tc>
          <w:tcPr>
            <w:tcW w:w="110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color w:val="auto"/>
                <w:kern w:val="0"/>
                <w:sz w:val="21"/>
                <w:szCs w:val="21"/>
                <w:highlight w:val="none"/>
                <w:u w:val="none"/>
                <w:lang w:val="en-US" w:eastAsia="zh-CN" w:bidi="ar"/>
              </w:rPr>
            </w:pPr>
            <w:r>
              <w:rPr>
                <w:rFonts w:hint="default" w:ascii="Times New Roman" w:hAnsi="Times New Roman" w:eastAsia="宋体" w:cs="Times New Roman"/>
                <w:i w:val="0"/>
                <w:color w:val="auto"/>
                <w:kern w:val="0"/>
                <w:sz w:val="21"/>
                <w:szCs w:val="21"/>
                <w:highlight w:val="none"/>
                <w:u w:val="none"/>
                <w:lang w:val="en-US" w:eastAsia="zh-CN" w:bidi="ar"/>
              </w:rPr>
              <w:t xml:space="preserve">23.98 </w:t>
            </w:r>
          </w:p>
        </w:tc>
        <w:tc>
          <w:tcPr>
            <w:tcW w:w="110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color w:val="auto"/>
                <w:kern w:val="0"/>
                <w:sz w:val="21"/>
                <w:szCs w:val="21"/>
                <w:highlight w:val="none"/>
                <w:u w:val="none"/>
                <w:lang w:val="en-US" w:eastAsia="zh-CN" w:bidi="ar"/>
              </w:rPr>
            </w:pPr>
            <w:r>
              <w:rPr>
                <w:rFonts w:hint="default" w:ascii="Times New Roman" w:hAnsi="Times New Roman" w:eastAsia="宋体" w:cs="Times New Roman"/>
                <w:i w:val="0"/>
                <w:color w:val="auto"/>
                <w:kern w:val="0"/>
                <w:sz w:val="21"/>
                <w:szCs w:val="21"/>
                <w:highlight w:val="none"/>
                <w:u w:val="none"/>
                <w:lang w:val="en-US" w:eastAsia="zh-CN" w:bidi="ar"/>
              </w:rPr>
              <w:t xml:space="preserve">23.98 </w:t>
            </w:r>
          </w:p>
        </w:tc>
        <w:tc>
          <w:tcPr>
            <w:tcW w:w="9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color w:val="auto"/>
                <w:kern w:val="0"/>
                <w:sz w:val="21"/>
                <w:szCs w:val="21"/>
                <w:highlight w:val="none"/>
                <w:u w:val="none"/>
                <w:lang w:val="en-US" w:eastAsia="zh-CN" w:bidi="ar"/>
              </w:rPr>
            </w:pPr>
            <w:r>
              <w:rPr>
                <w:rFonts w:hint="default" w:ascii="Times New Roman" w:hAnsi="Times New Roman" w:eastAsia="宋体" w:cs="Times New Roman"/>
                <w:i w:val="0"/>
                <w:color w:val="auto"/>
                <w:kern w:val="0"/>
                <w:sz w:val="21"/>
                <w:szCs w:val="21"/>
                <w:highlight w:val="none"/>
                <w:u w:val="none"/>
                <w:lang w:val="en-US" w:eastAsia="zh-CN" w:bidi="ar"/>
              </w:rPr>
              <w:t xml:space="preserve">23.98 </w:t>
            </w:r>
          </w:p>
        </w:tc>
        <w:tc>
          <w:tcPr>
            <w:tcW w:w="9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color w:val="auto"/>
                <w:kern w:val="0"/>
                <w:sz w:val="21"/>
                <w:szCs w:val="21"/>
                <w:highlight w:val="none"/>
                <w:u w:val="none"/>
                <w:lang w:val="en-US" w:eastAsia="zh-CN" w:bidi="ar"/>
              </w:rPr>
            </w:pPr>
            <w:r>
              <w:rPr>
                <w:rFonts w:hint="default" w:ascii="Times New Roman" w:hAnsi="Times New Roman" w:eastAsia="宋体" w:cs="Times New Roman"/>
                <w:i w:val="0"/>
                <w:color w:val="auto"/>
                <w:kern w:val="0"/>
                <w:sz w:val="21"/>
                <w:szCs w:val="21"/>
                <w:highlight w:val="none"/>
                <w:u w:val="none"/>
                <w:lang w:val="en-US" w:eastAsia="zh-CN" w:bidi="ar"/>
              </w:rPr>
              <w:t xml:space="preserve">23.98 </w:t>
            </w:r>
          </w:p>
        </w:tc>
        <w:tc>
          <w:tcPr>
            <w:tcW w:w="99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color w:val="auto"/>
                <w:kern w:val="0"/>
                <w:sz w:val="21"/>
                <w:szCs w:val="21"/>
                <w:highlight w:val="none"/>
                <w:u w:val="none"/>
                <w:lang w:val="en-US" w:eastAsia="zh-CN" w:bidi="ar"/>
              </w:rPr>
            </w:pPr>
            <w:r>
              <w:rPr>
                <w:rFonts w:hint="default" w:ascii="Times New Roman" w:hAnsi="Times New Roman" w:eastAsia="宋体" w:cs="Times New Roman"/>
                <w:i w:val="0"/>
                <w:color w:val="auto"/>
                <w:kern w:val="0"/>
                <w:sz w:val="21"/>
                <w:szCs w:val="21"/>
                <w:highlight w:val="none"/>
                <w:u w:val="none"/>
                <w:lang w:val="en-US" w:eastAsia="zh-CN" w:bidi="ar"/>
              </w:rPr>
              <w:t xml:space="preserve">23.98 </w:t>
            </w:r>
          </w:p>
        </w:tc>
        <w:tc>
          <w:tcPr>
            <w:tcW w:w="103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color w:val="auto"/>
                <w:kern w:val="0"/>
                <w:sz w:val="21"/>
                <w:szCs w:val="21"/>
                <w:highlight w:val="none"/>
                <w:u w:val="none"/>
                <w:lang w:val="en-US" w:eastAsia="zh-CN" w:bidi="ar"/>
              </w:rPr>
            </w:pPr>
            <w:r>
              <w:rPr>
                <w:rFonts w:hint="default" w:ascii="Times New Roman" w:hAnsi="Times New Roman" w:eastAsia="宋体" w:cs="Times New Roman"/>
                <w:i w:val="0"/>
                <w:color w:val="auto"/>
                <w:kern w:val="0"/>
                <w:sz w:val="21"/>
                <w:szCs w:val="21"/>
                <w:highlight w:val="none"/>
                <w:u w:val="none"/>
                <w:lang w:val="en-US" w:eastAsia="zh-CN" w:bidi="ar"/>
              </w:rPr>
              <w:t xml:space="preserve">23.98 </w:t>
            </w:r>
          </w:p>
        </w:tc>
        <w:tc>
          <w:tcPr>
            <w:tcW w:w="103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color w:val="auto"/>
                <w:kern w:val="0"/>
                <w:sz w:val="21"/>
                <w:szCs w:val="21"/>
                <w:highlight w:val="none"/>
                <w:u w:val="none"/>
                <w:lang w:val="en-US" w:eastAsia="zh-CN" w:bidi="ar"/>
              </w:rPr>
            </w:pPr>
            <w:r>
              <w:rPr>
                <w:rFonts w:hint="default" w:ascii="Times New Roman" w:hAnsi="Times New Roman" w:eastAsia="宋体" w:cs="Times New Roman"/>
                <w:i w:val="0"/>
                <w:color w:val="auto"/>
                <w:kern w:val="0"/>
                <w:sz w:val="21"/>
                <w:szCs w:val="21"/>
                <w:highlight w:val="none"/>
                <w:u w:val="none"/>
                <w:lang w:val="en-US" w:eastAsia="zh-CN" w:bidi="ar"/>
              </w:rPr>
              <w:t xml:space="preserve">23.98 </w:t>
            </w:r>
          </w:p>
        </w:tc>
        <w:tc>
          <w:tcPr>
            <w:tcW w:w="103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color w:val="auto"/>
                <w:kern w:val="0"/>
                <w:sz w:val="21"/>
                <w:szCs w:val="21"/>
                <w:highlight w:val="none"/>
                <w:u w:val="none"/>
                <w:lang w:val="en-US" w:eastAsia="zh-CN" w:bidi="ar"/>
              </w:rPr>
            </w:pPr>
            <w:r>
              <w:rPr>
                <w:rFonts w:hint="default" w:ascii="Times New Roman" w:hAnsi="Times New Roman" w:eastAsia="宋体" w:cs="Times New Roman"/>
                <w:i w:val="0"/>
                <w:color w:val="auto"/>
                <w:kern w:val="0"/>
                <w:sz w:val="21"/>
                <w:szCs w:val="21"/>
                <w:highlight w:val="none"/>
                <w:u w:val="none"/>
                <w:lang w:val="en-US" w:eastAsia="zh-CN" w:bidi="ar"/>
              </w:rPr>
              <w:t xml:space="preserve">23.98 </w:t>
            </w:r>
          </w:p>
        </w:tc>
        <w:tc>
          <w:tcPr>
            <w:tcW w:w="117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color w:val="auto"/>
                <w:kern w:val="0"/>
                <w:sz w:val="21"/>
                <w:szCs w:val="21"/>
                <w:highlight w:val="none"/>
                <w:u w:val="none"/>
                <w:lang w:val="en-US" w:eastAsia="zh-CN" w:bidi="ar"/>
              </w:rPr>
            </w:pPr>
            <w:r>
              <w:rPr>
                <w:rFonts w:hint="default" w:ascii="Times New Roman" w:hAnsi="Times New Roman" w:eastAsia="宋体" w:cs="Times New Roman"/>
                <w:i w:val="0"/>
                <w:color w:val="auto"/>
                <w:kern w:val="0"/>
                <w:sz w:val="21"/>
                <w:szCs w:val="21"/>
                <w:highlight w:val="none"/>
                <w:u w:val="none"/>
                <w:lang w:val="en-US" w:eastAsia="zh-CN" w:bidi="ar"/>
              </w:rPr>
              <w:t xml:space="preserve">23.98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67" w:hRule="atLeast"/>
        </w:trPr>
        <w:tc>
          <w:tcPr>
            <w:tcW w:w="2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1.3</w:t>
            </w:r>
          </w:p>
        </w:tc>
        <w:tc>
          <w:tcPr>
            <w:tcW w:w="64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发电效益</w:t>
            </w:r>
          </w:p>
        </w:tc>
        <w:tc>
          <w:tcPr>
            <w:tcW w:w="111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b/>
                <w:i w:val="0"/>
                <w:color w:val="auto"/>
                <w:kern w:val="0"/>
                <w:sz w:val="21"/>
                <w:szCs w:val="21"/>
                <w:highlight w:val="none"/>
                <w:u w:val="none"/>
                <w:lang w:val="en-US" w:eastAsia="zh-CN" w:bidi="ar"/>
              </w:rPr>
              <w:t>1582.47</w:t>
            </w:r>
          </w:p>
        </w:tc>
        <w:tc>
          <w:tcPr>
            <w:tcW w:w="110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b/>
                <w:i w:val="0"/>
                <w:color w:val="auto"/>
                <w:kern w:val="0"/>
                <w:sz w:val="21"/>
                <w:szCs w:val="21"/>
                <w:highlight w:val="none"/>
                <w:u w:val="none"/>
                <w:lang w:val="en-US" w:eastAsia="zh-CN" w:bidi="ar"/>
              </w:rPr>
              <w:t>20.53</w:t>
            </w:r>
          </w:p>
        </w:tc>
        <w:tc>
          <w:tcPr>
            <w:tcW w:w="110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b/>
                <w:i w:val="0"/>
                <w:color w:val="auto"/>
                <w:kern w:val="0"/>
                <w:sz w:val="21"/>
                <w:szCs w:val="21"/>
                <w:highlight w:val="none"/>
                <w:u w:val="none"/>
                <w:lang w:val="en-US" w:eastAsia="zh-CN" w:bidi="ar"/>
              </w:rPr>
              <w:t>20.53</w:t>
            </w:r>
          </w:p>
        </w:tc>
        <w:tc>
          <w:tcPr>
            <w:tcW w:w="110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b/>
                <w:i w:val="0"/>
                <w:color w:val="auto"/>
                <w:kern w:val="0"/>
                <w:sz w:val="21"/>
                <w:szCs w:val="21"/>
                <w:highlight w:val="none"/>
                <w:u w:val="none"/>
                <w:lang w:val="en-US" w:eastAsia="zh-CN" w:bidi="ar"/>
              </w:rPr>
              <w:t>20.53</w:t>
            </w:r>
          </w:p>
        </w:tc>
        <w:tc>
          <w:tcPr>
            <w:tcW w:w="9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b/>
                <w:i w:val="0"/>
                <w:color w:val="auto"/>
                <w:kern w:val="0"/>
                <w:sz w:val="21"/>
                <w:szCs w:val="21"/>
                <w:highlight w:val="none"/>
                <w:u w:val="none"/>
                <w:lang w:val="en-US" w:eastAsia="zh-CN" w:bidi="ar"/>
              </w:rPr>
              <w:t>20.53</w:t>
            </w:r>
          </w:p>
        </w:tc>
        <w:tc>
          <w:tcPr>
            <w:tcW w:w="9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b/>
                <w:i w:val="0"/>
                <w:color w:val="auto"/>
                <w:kern w:val="0"/>
                <w:sz w:val="21"/>
                <w:szCs w:val="21"/>
                <w:highlight w:val="none"/>
                <w:u w:val="none"/>
                <w:lang w:val="en-US" w:eastAsia="zh-CN" w:bidi="ar"/>
              </w:rPr>
              <w:t>20.53</w:t>
            </w:r>
          </w:p>
        </w:tc>
        <w:tc>
          <w:tcPr>
            <w:tcW w:w="99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b/>
                <w:i w:val="0"/>
                <w:color w:val="auto"/>
                <w:kern w:val="0"/>
                <w:sz w:val="21"/>
                <w:szCs w:val="21"/>
                <w:highlight w:val="none"/>
                <w:u w:val="none"/>
                <w:lang w:val="en-US" w:eastAsia="zh-CN" w:bidi="ar"/>
              </w:rPr>
              <w:t>20.53</w:t>
            </w:r>
          </w:p>
        </w:tc>
        <w:tc>
          <w:tcPr>
            <w:tcW w:w="103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b/>
                <w:i w:val="0"/>
                <w:color w:val="auto"/>
                <w:kern w:val="0"/>
                <w:sz w:val="21"/>
                <w:szCs w:val="21"/>
                <w:highlight w:val="none"/>
                <w:u w:val="none"/>
                <w:lang w:val="en-US" w:eastAsia="zh-CN" w:bidi="ar"/>
              </w:rPr>
              <w:t>20.53</w:t>
            </w:r>
          </w:p>
        </w:tc>
        <w:tc>
          <w:tcPr>
            <w:tcW w:w="103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b/>
                <w:i w:val="0"/>
                <w:color w:val="auto"/>
                <w:kern w:val="0"/>
                <w:sz w:val="21"/>
                <w:szCs w:val="21"/>
                <w:highlight w:val="none"/>
                <w:u w:val="none"/>
                <w:lang w:val="en-US" w:eastAsia="zh-CN" w:bidi="ar"/>
              </w:rPr>
              <w:t>20.53</w:t>
            </w:r>
          </w:p>
        </w:tc>
        <w:tc>
          <w:tcPr>
            <w:tcW w:w="103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b/>
                <w:i w:val="0"/>
                <w:color w:val="auto"/>
                <w:kern w:val="0"/>
                <w:sz w:val="21"/>
                <w:szCs w:val="21"/>
                <w:highlight w:val="none"/>
                <w:u w:val="none"/>
                <w:lang w:val="en-US" w:eastAsia="zh-CN" w:bidi="ar"/>
              </w:rPr>
              <w:t>20.53</w:t>
            </w:r>
          </w:p>
        </w:tc>
        <w:tc>
          <w:tcPr>
            <w:tcW w:w="117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b/>
                <w:i w:val="0"/>
                <w:color w:val="auto"/>
                <w:kern w:val="0"/>
                <w:sz w:val="21"/>
                <w:szCs w:val="21"/>
                <w:highlight w:val="none"/>
                <w:u w:val="none"/>
                <w:lang w:val="en-US" w:eastAsia="zh-CN" w:bidi="ar"/>
              </w:rPr>
              <w:t>20.53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b/>
                <w:i w:val="0"/>
                <w:color w:val="auto"/>
                <w:sz w:val="21"/>
                <w:szCs w:val="21"/>
                <w:highlight w:val="none"/>
                <w:u w:val="none"/>
              </w:rPr>
            </w:pPr>
            <w:r>
              <w:rPr>
                <w:rFonts w:hint="default" w:ascii="Times New Roman" w:hAnsi="Times New Roman" w:eastAsia="宋体" w:cs="Times New Roman"/>
                <w:b/>
                <w:i w:val="0"/>
                <w:color w:val="auto"/>
                <w:kern w:val="0"/>
                <w:sz w:val="21"/>
                <w:szCs w:val="21"/>
                <w:highlight w:val="none"/>
                <w:u w:val="none"/>
                <w:lang w:val="en-US" w:eastAsia="zh-CN" w:bidi="ar"/>
              </w:rPr>
              <w:t>2</w:t>
            </w:r>
          </w:p>
        </w:tc>
        <w:tc>
          <w:tcPr>
            <w:tcW w:w="64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i w:val="0"/>
                <w:color w:val="auto"/>
                <w:sz w:val="21"/>
                <w:szCs w:val="21"/>
                <w:highlight w:val="none"/>
                <w:u w:val="none"/>
              </w:rPr>
            </w:pPr>
            <w:r>
              <w:rPr>
                <w:rFonts w:hint="eastAsia" w:ascii="宋体" w:hAnsi="宋体" w:eastAsia="宋体" w:cs="宋体"/>
                <w:b/>
                <w:i w:val="0"/>
                <w:color w:val="auto"/>
                <w:kern w:val="0"/>
                <w:sz w:val="21"/>
                <w:szCs w:val="21"/>
                <w:highlight w:val="none"/>
                <w:u w:val="none"/>
                <w:lang w:val="en-US" w:eastAsia="zh-CN" w:bidi="ar"/>
              </w:rPr>
              <w:t>费用流量</w:t>
            </w:r>
            <w:r>
              <w:rPr>
                <w:rFonts w:hint="default" w:ascii="Times New Roman" w:hAnsi="Times New Roman" w:eastAsia="宋体" w:cs="Times New Roman"/>
                <w:b/>
                <w:i w:val="0"/>
                <w:color w:val="auto"/>
                <w:kern w:val="0"/>
                <w:sz w:val="21"/>
                <w:szCs w:val="21"/>
                <w:highlight w:val="none"/>
                <w:u w:val="none"/>
                <w:lang w:val="en-US" w:eastAsia="zh-CN" w:bidi="ar"/>
              </w:rPr>
              <w:t>C</w:t>
            </w:r>
          </w:p>
        </w:tc>
        <w:tc>
          <w:tcPr>
            <w:tcW w:w="111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b/>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1579.39</w:t>
            </w:r>
          </w:p>
        </w:tc>
        <w:tc>
          <w:tcPr>
            <w:tcW w:w="110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宋体" w:cs="Times New Roman"/>
                <w:b/>
                <w:i w:val="0"/>
                <w:color w:val="auto"/>
                <w:sz w:val="21"/>
                <w:szCs w:val="21"/>
                <w:highlight w:val="none"/>
                <w:u w:val="none"/>
              </w:rPr>
            </w:pPr>
          </w:p>
        </w:tc>
        <w:tc>
          <w:tcPr>
            <w:tcW w:w="110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宋体" w:cs="Times New Roman"/>
                <w:b/>
                <w:i w:val="0"/>
                <w:color w:val="auto"/>
                <w:sz w:val="21"/>
                <w:szCs w:val="21"/>
                <w:highlight w:val="none"/>
                <w:u w:val="none"/>
              </w:rPr>
            </w:pPr>
          </w:p>
        </w:tc>
        <w:tc>
          <w:tcPr>
            <w:tcW w:w="110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宋体" w:cs="Times New Roman"/>
                <w:b/>
                <w:i w:val="0"/>
                <w:color w:val="auto"/>
                <w:sz w:val="21"/>
                <w:szCs w:val="21"/>
                <w:highlight w:val="none"/>
                <w:u w:val="none"/>
              </w:rPr>
            </w:pPr>
          </w:p>
        </w:tc>
        <w:tc>
          <w:tcPr>
            <w:tcW w:w="9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宋体" w:cs="Times New Roman"/>
                <w:b/>
                <w:i w:val="0"/>
                <w:color w:val="auto"/>
                <w:sz w:val="21"/>
                <w:szCs w:val="21"/>
                <w:highlight w:val="none"/>
                <w:u w:val="none"/>
              </w:rPr>
            </w:pPr>
          </w:p>
        </w:tc>
        <w:tc>
          <w:tcPr>
            <w:tcW w:w="9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宋体" w:cs="Times New Roman"/>
                <w:b/>
                <w:i w:val="0"/>
                <w:color w:val="auto"/>
                <w:sz w:val="21"/>
                <w:szCs w:val="21"/>
                <w:highlight w:val="none"/>
                <w:u w:val="none"/>
              </w:rPr>
            </w:pPr>
          </w:p>
        </w:tc>
        <w:tc>
          <w:tcPr>
            <w:tcW w:w="99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宋体" w:cs="Times New Roman"/>
                <w:b/>
                <w:i w:val="0"/>
                <w:color w:val="auto"/>
                <w:sz w:val="21"/>
                <w:szCs w:val="21"/>
                <w:highlight w:val="none"/>
                <w:u w:val="none"/>
              </w:rPr>
            </w:pPr>
          </w:p>
        </w:tc>
        <w:tc>
          <w:tcPr>
            <w:tcW w:w="103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宋体" w:cs="Times New Roman"/>
                <w:b/>
                <w:i w:val="0"/>
                <w:color w:val="auto"/>
                <w:sz w:val="21"/>
                <w:szCs w:val="21"/>
                <w:highlight w:val="none"/>
                <w:u w:val="none"/>
              </w:rPr>
            </w:pPr>
          </w:p>
        </w:tc>
        <w:tc>
          <w:tcPr>
            <w:tcW w:w="103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宋体" w:cs="Times New Roman"/>
                <w:b/>
                <w:i w:val="0"/>
                <w:color w:val="auto"/>
                <w:sz w:val="21"/>
                <w:szCs w:val="21"/>
                <w:highlight w:val="none"/>
                <w:u w:val="none"/>
              </w:rPr>
            </w:pPr>
          </w:p>
        </w:tc>
        <w:tc>
          <w:tcPr>
            <w:tcW w:w="103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宋体" w:cs="Times New Roman"/>
                <w:b/>
                <w:i w:val="0"/>
                <w:color w:val="auto"/>
                <w:sz w:val="21"/>
                <w:szCs w:val="21"/>
                <w:highlight w:val="none"/>
                <w:u w:val="none"/>
              </w:rPr>
            </w:pPr>
          </w:p>
        </w:tc>
        <w:tc>
          <w:tcPr>
            <w:tcW w:w="117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宋体" w:cs="Times New Roman"/>
                <w:b/>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2.1</w:t>
            </w:r>
          </w:p>
        </w:tc>
        <w:tc>
          <w:tcPr>
            <w:tcW w:w="64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固定资产投资</w:t>
            </w:r>
          </w:p>
        </w:tc>
        <w:tc>
          <w:tcPr>
            <w:tcW w:w="111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宋体" w:cs="Times New Roman"/>
                <w:i w:val="0"/>
                <w:color w:val="auto"/>
                <w:sz w:val="21"/>
                <w:szCs w:val="21"/>
                <w:highlight w:val="none"/>
                <w:u w:val="none"/>
              </w:rPr>
            </w:pPr>
          </w:p>
        </w:tc>
        <w:tc>
          <w:tcPr>
            <w:tcW w:w="110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20.53</w:t>
            </w:r>
          </w:p>
        </w:tc>
        <w:tc>
          <w:tcPr>
            <w:tcW w:w="110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color w:val="auto"/>
                <w:sz w:val="22"/>
                <w:szCs w:val="22"/>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20.53</w:t>
            </w:r>
          </w:p>
        </w:tc>
        <w:tc>
          <w:tcPr>
            <w:tcW w:w="110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color w:val="auto"/>
                <w:sz w:val="22"/>
                <w:szCs w:val="22"/>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20.53</w:t>
            </w:r>
          </w:p>
        </w:tc>
        <w:tc>
          <w:tcPr>
            <w:tcW w:w="9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color w:val="auto"/>
                <w:sz w:val="22"/>
                <w:szCs w:val="22"/>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20.53</w:t>
            </w:r>
          </w:p>
        </w:tc>
        <w:tc>
          <w:tcPr>
            <w:tcW w:w="9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color w:val="auto"/>
                <w:sz w:val="22"/>
                <w:szCs w:val="22"/>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20.53</w:t>
            </w:r>
          </w:p>
        </w:tc>
        <w:tc>
          <w:tcPr>
            <w:tcW w:w="99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color w:val="auto"/>
                <w:sz w:val="22"/>
                <w:szCs w:val="22"/>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20.53</w:t>
            </w:r>
          </w:p>
        </w:tc>
        <w:tc>
          <w:tcPr>
            <w:tcW w:w="103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color w:val="auto"/>
                <w:sz w:val="22"/>
                <w:szCs w:val="22"/>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20.53</w:t>
            </w:r>
          </w:p>
        </w:tc>
        <w:tc>
          <w:tcPr>
            <w:tcW w:w="103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color w:val="auto"/>
                <w:sz w:val="22"/>
                <w:szCs w:val="22"/>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20.53</w:t>
            </w:r>
          </w:p>
        </w:tc>
        <w:tc>
          <w:tcPr>
            <w:tcW w:w="103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color w:val="auto"/>
                <w:sz w:val="22"/>
                <w:szCs w:val="22"/>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20.53</w:t>
            </w:r>
          </w:p>
        </w:tc>
        <w:tc>
          <w:tcPr>
            <w:tcW w:w="117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color w:val="auto"/>
                <w:sz w:val="22"/>
                <w:szCs w:val="22"/>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20.53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2.2</w:t>
            </w:r>
          </w:p>
        </w:tc>
        <w:tc>
          <w:tcPr>
            <w:tcW w:w="64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增量年运行费</w:t>
            </w:r>
          </w:p>
        </w:tc>
        <w:tc>
          <w:tcPr>
            <w:tcW w:w="111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3.08</w:t>
            </w:r>
          </w:p>
        </w:tc>
        <w:tc>
          <w:tcPr>
            <w:tcW w:w="110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宋体" w:cs="Times New Roman"/>
                <w:i w:val="0"/>
                <w:color w:val="auto"/>
                <w:sz w:val="21"/>
                <w:szCs w:val="21"/>
                <w:highlight w:val="none"/>
                <w:u w:val="none"/>
              </w:rPr>
            </w:pPr>
          </w:p>
        </w:tc>
        <w:tc>
          <w:tcPr>
            <w:tcW w:w="110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宋体" w:cs="Times New Roman"/>
                <w:i w:val="0"/>
                <w:color w:val="auto"/>
                <w:sz w:val="21"/>
                <w:szCs w:val="21"/>
                <w:highlight w:val="none"/>
                <w:u w:val="none"/>
              </w:rPr>
            </w:pPr>
          </w:p>
        </w:tc>
        <w:tc>
          <w:tcPr>
            <w:tcW w:w="110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宋体" w:cs="Times New Roman"/>
                <w:i w:val="0"/>
                <w:color w:val="auto"/>
                <w:sz w:val="21"/>
                <w:szCs w:val="21"/>
                <w:highlight w:val="none"/>
                <w:u w:val="none"/>
              </w:rPr>
            </w:pPr>
          </w:p>
        </w:tc>
        <w:tc>
          <w:tcPr>
            <w:tcW w:w="9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宋体" w:cs="Times New Roman"/>
                <w:i w:val="0"/>
                <w:color w:val="auto"/>
                <w:sz w:val="21"/>
                <w:szCs w:val="21"/>
                <w:highlight w:val="none"/>
                <w:u w:val="none"/>
              </w:rPr>
            </w:pPr>
          </w:p>
        </w:tc>
        <w:tc>
          <w:tcPr>
            <w:tcW w:w="9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宋体" w:cs="Times New Roman"/>
                <w:i w:val="0"/>
                <w:color w:val="auto"/>
                <w:sz w:val="21"/>
                <w:szCs w:val="21"/>
                <w:highlight w:val="none"/>
                <w:u w:val="none"/>
              </w:rPr>
            </w:pPr>
          </w:p>
        </w:tc>
        <w:tc>
          <w:tcPr>
            <w:tcW w:w="99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宋体" w:cs="Times New Roman"/>
                <w:i w:val="0"/>
                <w:color w:val="auto"/>
                <w:sz w:val="21"/>
                <w:szCs w:val="21"/>
                <w:highlight w:val="none"/>
                <w:u w:val="none"/>
              </w:rPr>
            </w:pPr>
          </w:p>
        </w:tc>
        <w:tc>
          <w:tcPr>
            <w:tcW w:w="103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宋体" w:cs="Times New Roman"/>
                <w:i w:val="0"/>
                <w:color w:val="auto"/>
                <w:sz w:val="21"/>
                <w:szCs w:val="21"/>
                <w:highlight w:val="none"/>
                <w:u w:val="none"/>
              </w:rPr>
            </w:pPr>
          </w:p>
        </w:tc>
        <w:tc>
          <w:tcPr>
            <w:tcW w:w="103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宋体" w:cs="Times New Roman"/>
                <w:i w:val="0"/>
                <w:color w:val="auto"/>
                <w:sz w:val="21"/>
                <w:szCs w:val="21"/>
                <w:highlight w:val="none"/>
                <w:u w:val="none"/>
              </w:rPr>
            </w:pPr>
          </w:p>
        </w:tc>
        <w:tc>
          <w:tcPr>
            <w:tcW w:w="103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宋体" w:cs="Times New Roman"/>
                <w:i w:val="0"/>
                <w:color w:val="auto"/>
                <w:sz w:val="21"/>
                <w:szCs w:val="21"/>
                <w:highlight w:val="none"/>
                <w:u w:val="none"/>
              </w:rPr>
            </w:pPr>
          </w:p>
        </w:tc>
        <w:tc>
          <w:tcPr>
            <w:tcW w:w="117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宋体" w:cs="Times New Roman"/>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67" w:hRule="atLeast"/>
        </w:trPr>
        <w:tc>
          <w:tcPr>
            <w:tcW w:w="2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2.3</w:t>
            </w:r>
          </w:p>
        </w:tc>
        <w:tc>
          <w:tcPr>
            <w:tcW w:w="64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流动资金</w:t>
            </w:r>
          </w:p>
        </w:tc>
        <w:tc>
          <w:tcPr>
            <w:tcW w:w="111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color w:val="auto"/>
                <w:sz w:val="21"/>
                <w:szCs w:val="21"/>
                <w:highlight w:val="none"/>
                <w:u w:val="none"/>
              </w:rPr>
            </w:pPr>
            <w:r>
              <w:rPr>
                <w:rFonts w:hint="default" w:ascii="Times New Roman" w:hAnsi="Times New Roman" w:eastAsia="宋体" w:cs="Times New Roman"/>
                <w:b/>
                <w:i w:val="0"/>
                <w:color w:val="auto"/>
                <w:kern w:val="0"/>
                <w:sz w:val="21"/>
                <w:szCs w:val="21"/>
                <w:highlight w:val="none"/>
                <w:u w:val="none"/>
                <w:lang w:val="en-US" w:eastAsia="zh-CN" w:bidi="ar"/>
              </w:rPr>
              <w:t xml:space="preserve">-1582.47 </w:t>
            </w:r>
          </w:p>
        </w:tc>
        <w:tc>
          <w:tcPr>
            <w:tcW w:w="110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color w:val="auto"/>
                <w:sz w:val="21"/>
                <w:szCs w:val="21"/>
                <w:highlight w:val="none"/>
                <w:u w:val="none"/>
              </w:rPr>
            </w:pPr>
            <w:r>
              <w:rPr>
                <w:rFonts w:hint="default" w:ascii="Times New Roman" w:hAnsi="Times New Roman" w:eastAsia="宋体" w:cs="Times New Roman"/>
                <w:b/>
                <w:i w:val="0"/>
                <w:color w:val="auto"/>
                <w:kern w:val="0"/>
                <w:sz w:val="21"/>
                <w:szCs w:val="21"/>
                <w:highlight w:val="none"/>
                <w:u w:val="none"/>
                <w:lang w:val="en-US" w:eastAsia="zh-CN" w:bidi="ar"/>
              </w:rPr>
              <w:t xml:space="preserve">173.16 </w:t>
            </w:r>
          </w:p>
        </w:tc>
        <w:tc>
          <w:tcPr>
            <w:tcW w:w="110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color w:val="auto"/>
                <w:sz w:val="21"/>
                <w:szCs w:val="21"/>
                <w:highlight w:val="none"/>
                <w:u w:val="none"/>
              </w:rPr>
            </w:pPr>
            <w:r>
              <w:rPr>
                <w:rFonts w:hint="default" w:ascii="Times New Roman" w:hAnsi="Times New Roman" w:eastAsia="宋体" w:cs="Times New Roman"/>
                <w:b/>
                <w:i w:val="0"/>
                <w:color w:val="auto"/>
                <w:kern w:val="0"/>
                <w:sz w:val="21"/>
                <w:szCs w:val="21"/>
                <w:highlight w:val="none"/>
                <w:u w:val="none"/>
                <w:lang w:val="en-US" w:eastAsia="zh-CN" w:bidi="ar"/>
              </w:rPr>
              <w:t xml:space="preserve">173.16 </w:t>
            </w:r>
          </w:p>
        </w:tc>
        <w:tc>
          <w:tcPr>
            <w:tcW w:w="110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color w:val="auto"/>
                <w:sz w:val="21"/>
                <w:szCs w:val="21"/>
                <w:highlight w:val="none"/>
                <w:u w:val="none"/>
              </w:rPr>
            </w:pPr>
            <w:r>
              <w:rPr>
                <w:rFonts w:hint="default" w:ascii="Times New Roman" w:hAnsi="Times New Roman" w:eastAsia="宋体" w:cs="Times New Roman"/>
                <w:b/>
                <w:i w:val="0"/>
                <w:color w:val="auto"/>
                <w:kern w:val="0"/>
                <w:sz w:val="21"/>
                <w:szCs w:val="21"/>
                <w:highlight w:val="none"/>
                <w:u w:val="none"/>
                <w:lang w:val="en-US" w:eastAsia="zh-CN" w:bidi="ar"/>
              </w:rPr>
              <w:t xml:space="preserve">173.16 </w:t>
            </w:r>
          </w:p>
        </w:tc>
        <w:tc>
          <w:tcPr>
            <w:tcW w:w="9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color w:val="auto"/>
                <w:sz w:val="21"/>
                <w:szCs w:val="21"/>
                <w:highlight w:val="none"/>
                <w:u w:val="none"/>
              </w:rPr>
            </w:pPr>
            <w:r>
              <w:rPr>
                <w:rFonts w:hint="default" w:ascii="Times New Roman" w:hAnsi="Times New Roman" w:eastAsia="宋体" w:cs="Times New Roman"/>
                <w:b/>
                <w:i w:val="0"/>
                <w:color w:val="auto"/>
                <w:kern w:val="0"/>
                <w:sz w:val="21"/>
                <w:szCs w:val="21"/>
                <w:highlight w:val="none"/>
                <w:u w:val="none"/>
                <w:lang w:val="en-US" w:eastAsia="zh-CN" w:bidi="ar"/>
              </w:rPr>
              <w:t xml:space="preserve">173.16 </w:t>
            </w:r>
          </w:p>
        </w:tc>
        <w:tc>
          <w:tcPr>
            <w:tcW w:w="9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color w:val="auto"/>
                <w:sz w:val="21"/>
                <w:szCs w:val="21"/>
                <w:highlight w:val="none"/>
                <w:u w:val="none"/>
              </w:rPr>
            </w:pPr>
            <w:r>
              <w:rPr>
                <w:rFonts w:hint="default" w:ascii="Times New Roman" w:hAnsi="Times New Roman" w:eastAsia="宋体" w:cs="Times New Roman"/>
                <w:b/>
                <w:i w:val="0"/>
                <w:color w:val="auto"/>
                <w:kern w:val="0"/>
                <w:sz w:val="21"/>
                <w:szCs w:val="21"/>
                <w:highlight w:val="none"/>
                <w:u w:val="none"/>
                <w:lang w:val="en-US" w:eastAsia="zh-CN" w:bidi="ar"/>
              </w:rPr>
              <w:t xml:space="preserve">173.16 </w:t>
            </w:r>
          </w:p>
        </w:tc>
        <w:tc>
          <w:tcPr>
            <w:tcW w:w="99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color w:val="auto"/>
                <w:sz w:val="21"/>
                <w:szCs w:val="21"/>
                <w:highlight w:val="none"/>
                <w:u w:val="none"/>
              </w:rPr>
            </w:pPr>
            <w:r>
              <w:rPr>
                <w:rFonts w:hint="default" w:ascii="Times New Roman" w:hAnsi="Times New Roman" w:eastAsia="宋体" w:cs="Times New Roman"/>
                <w:b/>
                <w:i w:val="0"/>
                <w:color w:val="auto"/>
                <w:kern w:val="0"/>
                <w:sz w:val="21"/>
                <w:szCs w:val="21"/>
                <w:highlight w:val="none"/>
                <w:u w:val="none"/>
                <w:lang w:val="en-US" w:eastAsia="zh-CN" w:bidi="ar"/>
              </w:rPr>
              <w:t xml:space="preserve">173.16 </w:t>
            </w:r>
          </w:p>
        </w:tc>
        <w:tc>
          <w:tcPr>
            <w:tcW w:w="103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color w:val="auto"/>
                <w:sz w:val="21"/>
                <w:szCs w:val="21"/>
                <w:highlight w:val="none"/>
                <w:u w:val="none"/>
              </w:rPr>
            </w:pPr>
            <w:r>
              <w:rPr>
                <w:rFonts w:hint="default" w:ascii="Times New Roman" w:hAnsi="Times New Roman" w:eastAsia="宋体" w:cs="Times New Roman"/>
                <w:b/>
                <w:i w:val="0"/>
                <w:color w:val="auto"/>
                <w:kern w:val="0"/>
                <w:sz w:val="21"/>
                <w:szCs w:val="21"/>
                <w:highlight w:val="none"/>
                <w:u w:val="none"/>
                <w:lang w:val="en-US" w:eastAsia="zh-CN" w:bidi="ar"/>
              </w:rPr>
              <w:t xml:space="preserve">173.16 </w:t>
            </w:r>
          </w:p>
        </w:tc>
        <w:tc>
          <w:tcPr>
            <w:tcW w:w="103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color w:val="auto"/>
                <w:sz w:val="21"/>
                <w:szCs w:val="21"/>
                <w:highlight w:val="none"/>
                <w:u w:val="none"/>
              </w:rPr>
            </w:pPr>
            <w:r>
              <w:rPr>
                <w:rFonts w:hint="default" w:ascii="Times New Roman" w:hAnsi="Times New Roman" w:eastAsia="宋体" w:cs="Times New Roman"/>
                <w:b/>
                <w:i w:val="0"/>
                <w:color w:val="auto"/>
                <w:kern w:val="0"/>
                <w:sz w:val="21"/>
                <w:szCs w:val="21"/>
                <w:highlight w:val="none"/>
                <w:u w:val="none"/>
                <w:lang w:val="en-US" w:eastAsia="zh-CN" w:bidi="ar"/>
              </w:rPr>
              <w:t xml:space="preserve">173.16 </w:t>
            </w:r>
          </w:p>
        </w:tc>
        <w:tc>
          <w:tcPr>
            <w:tcW w:w="103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color w:val="auto"/>
                <w:sz w:val="21"/>
                <w:szCs w:val="21"/>
                <w:highlight w:val="none"/>
                <w:u w:val="none"/>
              </w:rPr>
            </w:pPr>
            <w:r>
              <w:rPr>
                <w:rFonts w:hint="default" w:ascii="Times New Roman" w:hAnsi="Times New Roman" w:eastAsia="宋体" w:cs="Times New Roman"/>
                <w:b/>
                <w:i w:val="0"/>
                <w:color w:val="auto"/>
                <w:kern w:val="0"/>
                <w:sz w:val="21"/>
                <w:szCs w:val="21"/>
                <w:highlight w:val="none"/>
                <w:u w:val="none"/>
                <w:lang w:val="en-US" w:eastAsia="zh-CN" w:bidi="ar"/>
              </w:rPr>
              <w:t xml:space="preserve">173.16 </w:t>
            </w:r>
          </w:p>
        </w:tc>
        <w:tc>
          <w:tcPr>
            <w:tcW w:w="117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color w:val="auto"/>
                <w:sz w:val="21"/>
                <w:szCs w:val="21"/>
                <w:highlight w:val="none"/>
                <w:u w:val="none"/>
              </w:rPr>
            </w:pPr>
            <w:r>
              <w:rPr>
                <w:rFonts w:hint="default" w:ascii="Times New Roman" w:hAnsi="Times New Roman" w:eastAsia="宋体" w:cs="Times New Roman"/>
                <w:b/>
                <w:i w:val="0"/>
                <w:color w:val="auto"/>
                <w:kern w:val="0"/>
                <w:sz w:val="21"/>
                <w:szCs w:val="21"/>
                <w:highlight w:val="none"/>
                <w:u w:val="none"/>
                <w:lang w:val="en-US" w:eastAsia="zh-CN" w:bidi="ar"/>
              </w:rPr>
              <w:t xml:space="preserve">173.16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b/>
                <w:i w:val="0"/>
                <w:color w:val="auto"/>
                <w:sz w:val="21"/>
                <w:szCs w:val="21"/>
                <w:highlight w:val="none"/>
                <w:u w:val="none"/>
              </w:rPr>
            </w:pPr>
            <w:r>
              <w:rPr>
                <w:rFonts w:hint="default" w:ascii="Times New Roman" w:hAnsi="Times New Roman" w:eastAsia="宋体" w:cs="Times New Roman"/>
                <w:b/>
                <w:i w:val="0"/>
                <w:color w:val="auto"/>
                <w:kern w:val="0"/>
                <w:sz w:val="21"/>
                <w:szCs w:val="21"/>
                <w:highlight w:val="none"/>
                <w:u w:val="none"/>
                <w:lang w:val="en-US" w:eastAsia="zh-CN" w:bidi="ar"/>
              </w:rPr>
              <w:t>3</w:t>
            </w:r>
          </w:p>
        </w:tc>
        <w:tc>
          <w:tcPr>
            <w:tcW w:w="64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i w:val="0"/>
                <w:color w:val="auto"/>
                <w:sz w:val="21"/>
                <w:szCs w:val="21"/>
                <w:highlight w:val="none"/>
                <w:u w:val="none"/>
              </w:rPr>
            </w:pPr>
            <w:r>
              <w:rPr>
                <w:rFonts w:hint="eastAsia" w:ascii="宋体" w:hAnsi="宋体" w:eastAsia="宋体" w:cs="宋体"/>
                <w:b/>
                <w:i w:val="0"/>
                <w:color w:val="auto"/>
                <w:kern w:val="0"/>
                <w:sz w:val="21"/>
                <w:szCs w:val="21"/>
                <w:highlight w:val="none"/>
                <w:u w:val="none"/>
                <w:lang w:val="en-US" w:eastAsia="zh-CN" w:bidi="ar"/>
              </w:rPr>
              <w:t>净效益流量</w:t>
            </w:r>
            <w:r>
              <w:rPr>
                <w:rFonts w:hint="default" w:ascii="Times New Roman" w:hAnsi="Times New Roman" w:eastAsia="宋体" w:cs="Times New Roman"/>
                <w:b/>
                <w:i w:val="0"/>
                <w:color w:val="auto"/>
                <w:kern w:val="0"/>
                <w:sz w:val="21"/>
                <w:szCs w:val="21"/>
                <w:highlight w:val="none"/>
                <w:u w:val="none"/>
                <w:lang w:val="en-US" w:eastAsia="zh-CN" w:bidi="ar"/>
              </w:rPr>
              <w:t>(B-C)</w:t>
            </w:r>
          </w:p>
        </w:tc>
        <w:tc>
          <w:tcPr>
            <w:tcW w:w="111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b/>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-1582.47</w:t>
            </w:r>
          </w:p>
        </w:tc>
        <w:tc>
          <w:tcPr>
            <w:tcW w:w="110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b/>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 xml:space="preserve">-1409.31 </w:t>
            </w:r>
          </w:p>
        </w:tc>
        <w:tc>
          <w:tcPr>
            <w:tcW w:w="110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b/>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 xml:space="preserve">-1236.15 </w:t>
            </w:r>
          </w:p>
        </w:tc>
        <w:tc>
          <w:tcPr>
            <w:tcW w:w="110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b/>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 xml:space="preserve">-1062.99 </w:t>
            </w:r>
          </w:p>
        </w:tc>
        <w:tc>
          <w:tcPr>
            <w:tcW w:w="9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b/>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 xml:space="preserve">-889.83 </w:t>
            </w:r>
          </w:p>
        </w:tc>
        <w:tc>
          <w:tcPr>
            <w:tcW w:w="9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b/>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 xml:space="preserve">-716.67 </w:t>
            </w:r>
          </w:p>
        </w:tc>
        <w:tc>
          <w:tcPr>
            <w:tcW w:w="99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b/>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 xml:space="preserve">-543.51 </w:t>
            </w:r>
          </w:p>
        </w:tc>
        <w:tc>
          <w:tcPr>
            <w:tcW w:w="103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b/>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 xml:space="preserve">3092.85 </w:t>
            </w:r>
          </w:p>
        </w:tc>
        <w:tc>
          <w:tcPr>
            <w:tcW w:w="103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b/>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 xml:space="preserve">3266.01 </w:t>
            </w:r>
          </w:p>
        </w:tc>
        <w:tc>
          <w:tcPr>
            <w:tcW w:w="103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b/>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 xml:space="preserve">3439.17 </w:t>
            </w:r>
          </w:p>
        </w:tc>
        <w:tc>
          <w:tcPr>
            <w:tcW w:w="117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b/>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 xml:space="preserve">3612.33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4</w:t>
            </w:r>
          </w:p>
        </w:tc>
        <w:tc>
          <w:tcPr>
            <w:tcW w:w="64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累计净效益</w:t>
            </w:r>
          </w:p>
        </w:tc>
        <w:tc>
          <w:tcPr>
            <w:tcW w:w="111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b/>
                <w:i w:val="0"/>
                <w:color w:val="auto"/>
                <w:kern w:val="0"/>
                <w:sz w:val="21"/>
                <w:szCs w:val="21"/>
                <w:highlight w:val="none"/>
                <w:u w:val="none"/>
                <w:lang w:val="en-US" w:eastAsia="zh-CN" w:bidi="ar"/>
              </w:rPr>
              <w:t>0</w:t>
            </w:r>
          </w:p>
        </w:tc>
        <w:tc>
          <w:tcPr>
            <w:tcW w:w="110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b/>
                <w:i w:val="0"/>
                <w:color w:val="auto"/>
                <w:kern w:val="0"/>
                <w:sz w:val="21"/>
                <w:szCs w:val="21"/>
                <w:highlight w:val="none"/>
                <w:u w:val="none"/>
                <w:lang w:val="en-US" w:eastAsia="zh-CN" w:bidi="ar"/>
              </w:rPr>
              <w:t xml:space="preserve">193.69 </w:t>
            </w:r>
          </w:p>
        </w:tc>
        <w:tc>
          <w:tcPr>
            <w:tcW w:w="110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b/>
                <w:i w:val="0"/>
                <w:color w:val="auto"/>
                <w:kern w:val="0"/>
                <w:sz w:val="21"/>
                <w:szCs w:val="21"/>
                <w:highlight w:val="none"/>
                <w:u w:val="none"/>
                <w:lang w:val="en-US" w:eastAsia="zh-CN" w:bidi="ar"/>
              </w:rPr>
              <w:t xml:space="preserve">193.69 </w:t>
            </w:r>
          </w:p>
        </w:tc>
        <w:tc>
          <w:tcPr>
            <w:tcW w:w="110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b/>
                <w:i w:val="0"/>
                <w:color w:val="auto"/>
                <w:kern w:val="0"/>
                <w:sz w:val="21"/>
                <w:szCs w:val="21"/>
                <w:highlight w:val="none"/>
                <w:u w:val="none"/>
                <w:lang w:val="en-US" w:eastAsia="zh-CN" w:bidi="ar"/>
              </w:rPr>
              <w:t xml:space="preserve">193.69 </w:t>
            </w:r>
          </w:p>
        </w:tc>
        <w:tc>
          <w:tcPr>
            <w:tcW w:w="9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b/>
                <w:i w:val="0"/>
                <w:color w:val="auto"/>
                <w:kern w:val="0"/>
                <w:sz w:val="21"/>
                <w:szCs w:val="21"/>
                <w:highlight w:val="none"/>
                <w:u w:val="none"/>
                <w:lang w:val="en-US" w:eastAsia="zh-CN" w:bidi="ar"/>
              </w:rPr>
              <w:t xml:space="preserve">193.69 </w:t>
            </w:r>
          </w:p>
        </w:tc>
        <w:tc>
          <w:tcPr>
            <w:tcW w:w="9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b/>
                <w:i w:val="0"/>
                <w:color w:val="auto"/>
                <w:kern w:val="0"/>
                <w:sz w:val="21"/>
                <w:szCs w:val="21"/>
                <w:highlight w:val="none"/>
                <w:u w:val="none"/>
                <w:lang w:val="en-US" w:eastAsia="zh-CN" w:bidi="ar"/>
              </w:rPr>
              <w:t xml:space="preserve">193.69 </w:t>
            </w:r>
          </w:p>
        </w:tc>
        <w:tc>
          <w:tcPr>
            <w:tcW w:w="99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b/>
                <w:i w:val="0"/>
                <w:color w:val="auto"/>
                <w:kern w:val="0"/>
                <w:sz w:val="21"/>
                <w:szCs w:val="21"/>
                <w:highlight w:val="none"/>
                <w:u w:val="none"/>
                <w:lang w:val="en-US" w:eastAsia="zh-CN" w:bidi="ar"/>
              </w:rPr>
              <w:t xml:space="preserve">193.69 </w:t>
            </w:r>
          </w:p>
        </w:tc>
        <w:tc>
          <w:tcPr>
            <w:tcW w:w="103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b/>
                <w:i w:val="0"/>
                <w:color w:val="auto"/>
                <w:kern w:val="0"/>
                <w:sz w:val="21"/>
                <w:szCs w:val="21"/>
                <w:highlight w:val="none"/>
                <w:u w:val="none"/>
                <w:lang w:val="en-US" w:eastAsia="zh-CN" w:bidi="ar"/>
              </w:rPr>
              <w:t xml:space="preserve">193.69 </w:t>
            </w:r>
          </w:p>
        </w:tc>
        <w:tc>
          <w:tcPr>
            <w:tcW w:w="103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b/>
                <w:i w:val="0"/>
                <w:color w:val="auto"/>
                <w:kern w:val="0"/>
                <w:sz w:val="21"/>
                <w:szCs w:val="21"/>
                <w:highlight w:val="none"/>
                <w:u w:val="none"/>
                <w:lang w:val="en-US" w:eastAsia="zh-CN" w:bidi="ar"/>
              </w:rPr>
              <w:t xml:space="preserve">193.69 </w:t>
            </w:r>
          </w:p>
        </w:tc>
        <w:tc>
          <w:tcPr>
            <w:tcW w:w="103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b/>
                <w:i w:val="0"/>
                <w:color w:val="auto"/>
                <w:kern w:val="0"/>
                <w:sz w:val="21"/>
                <w:szCs w:val="21"/>
                <w:highlight w:val="none"/>
                <w:u w:val="none"/>
                <w:lang w:val="en-US" w:eastAsia="zh-CN" w:bidi="ar"/>
              </w:rPr>
              <w:t xml:space="preserve">193.69 </w:t>
            </w:r>
          </w:p>
        </w:tc>
        <w:tc>
          <w:tcPr>
            <w:tcW w:w="117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b/>
                <w:i w:val="0"/>
                <w:color w:val="auto"/>
                <w:kern w:val="0"/>
                <w:sz w:val="21"/>
                <w:szCs w:val="21"/>
                <w:highlight w:val="none"/>
                <w:u w:val="none"/>
                <w:lang w:val="en-US" w:eastAsia="zh-CN" w:bidi="ar"/>
              </w:rPr>
              <w:t xml:space="preserve">193.69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5000" w:type="pct"/>
            <w:gridSpan w:val="13"/>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i w:val="0"/>
                <w:color w:val="auto"/>
                <w:kern w:val="0"/>
                <w:sz w:val="21"/>
                <w:szCs w:val="21"/>
                <w:highlight w:val="none"/>
                <w:u w:val="none"/>
                <w:lang w:val="en-US" w:eastAsia="zh-CN" w:bidi="ar"/>
              </w:rPr>
            </w:pPr>
            <w:r>
              <w:rPr>
                <w:rFonts w:hint="eastAsia" w:ascii="宋体" w:hAnsi="宋体" w:eastAsia="宋体" w:cs="宋体"/>
                <w:b/>
                <w:bCs/>
                <w:i w:val="0"/>
                <w:color w:val="auto"/>
                <w:kern w:val="0"/>
                <w:sz w:val="21"/>
                <w:szCs w:val="21"/>
                <w:highlight w:val="none"/>
                <w:u w:val="none"/>
                <w:lang w:val="en-US" w:eastAsia="zh-CN" w:bidi="ar"/>
              </w:rPr>
              <w:t>国民经济内部收益率（IRR）：</w:t>
            </w:r>
            <w:r>
              <w:rPr>
                <w:rFonts w:hint="eastAsia" w:ascii="宋体" w:hAnsi="宋体" w:cs="宋体"/>
                <w:b/>
                <w:bCs/>
                <w:i w:val="0"/>
                <w:color w:val="auto"/>
                <w:kern w:val="0"/>
                <w:sz w:val="21"/>
                <w:szCs w:val="21"/>
                <w:highlight w:val="none"/>
                <w:u w:val="none"/>
                <w:lang w:val="en-US" w:eastAsia="zh-CN" w:bidi="ar"/>
              </w:rPr>
              <w:t>10.38</w:t>
            </w:r>
            <w:r>
              <w:rPr>
                <w:rFonts w:hint="eastAsia" w:ascii="宋体" w:hAnsi="宋体" w:eastAsia="宋体" w:cs="宋体"/>
                <w:b/>
                <w:bCs/>
                <w:i w:val="0"/>
                <w:color w:val="auto"/>
                <w:kern w:val="0"/>
                <w:sz w:val="21"/>
                <w:szCs w:val="21"/>
                <w:highlight w:val="none"/>
                <w:u w:val="none"/>
                <w:lang w:val="en-US" w:eastAsia="zh-CN" w:bidi="ar"/>
              </w:rPr>
              <w:t>%        经济净现值（NPV）：</w:t>
            </w:r>
            <w:r>
              <w:rPr>
                <w:rFonts w:hint="eastAsia" w:ascii="宋体" w:hAnsi="宋体" w:cs="宋体"/>
                <w:b/>
                <w:bCs/>
                <w:i w:val="0"/>
                <w:color w:val="auto"/>
                <w:kern w:val="0"/>
                <w:sz w:val="21"/>
                <w:szCs w:val="21"/>
                <w:highlight w:val="none"/>
                <w:u w:val="none"/>
                <w:lang w:val="en-US" w:eastAsia="zh-CN" w:bidi="ar"/>
              </w:rPr>
              <w:t>755.71</w:t>
            </w:r>
            <w:r>
              <w:rPr>
                <w:rFonts w:hint="eastAsia" w:ascii="宋体" w:hAnsi="宋体" w:eastAsia="宋体" w:cs="宋体"/>
                <w:b/>
                <w:bCs/>
                <w:i w:val="0"/>
                <w:color w:val="auto"/>
                <w:kern w:val="0"/>
                <w:sz w:val="21"/>
                <w:szCs w:val="21"/>
                <w:highlight w:val="none"/>
                <w:u w:val="none"/>
                <w:lang w:val="en-US" w:eastAsia="zh-CN" w:bidi="ar"/>
              </w:rPr>
              <w:t>万元        效益费用比（BCR）：1.</w:t>
            </w:r>
            <w:r>
              <w:rPr>
                <w:rFonts w:hint="eastAsia" w:ascii="宋体" w:hAnsi="宋体" w:cs="宋体"/>
                <w:b/>
                <w:bCs/>
                <w:i w:val="0"/>
                <w:color w:val="auto"/>
                <w:kern w:val="0"/>
                <w:sz w:val="21"/>
                <w:szCs w:val="21"/>
                <w:highlight w:val="none"/>
                <w:u w:val="none"/>
                <w:lang w:val="en-US" w:eastAsia="zh-CN" w:bidi="ar"/>
              </w:rPr>
              <w:t>43</w:t>
            </w:r>
          </w:p>
        </w:tc>
      </w:tr>
    </w:tbl>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color w:val="auto"/>
          <w:kern w:val="0"/>
          <w:sz w:val="21"/>
          <w:szCs w:val="21"/>
          <w:highlight w:val="none"/>
          <w:u w:val="none"/>
          <w:lang w:val="en-US" w:eastAsia="zh-CN" w:bidi="ar"/>
        </w:rPr>
        <w:sectPr>
          <w:footerReference r:id="rId9" w:type="default"/>
          <w:pgSz w:w="16838" w:h="11906" w:orient="landscape"/>
          <w:pgMar w:top="850" w:right="1440" w:bottom="850" w:left="1440" w:header="851" w:footer="992" w:gutter="0"/>
          <w:pgNumType w:fmt="decimal"/>
          <w:cols w:space="425" w:num="1"/>
          <w:docGrid w:type="lines" w:linePitch="312" w:charSpace="0"/>
        </w:sectPr>
      </w:pPr>
    </w:p>
    <w:p>
      <w:pPr>
        <w:pStyle w:val="2"/>
        <w:keepNext w:val="0"/>
        <w:keepLines w:val="0"/>
        <w:pageBreakBefore w:val="0"/>
        <w:widowControl w:val="0"/>
        <w:kinsoku/>
        <w:wordWrap/>
        <w:overflowPunct/>
        <w:topLinePunct w:val="0"/>
        <w:autoSpaceDE/>
        <w:autoSpaceDN/>
        <w:bidi w:val="0"/>
        <w:adjustRightInd/>
        <w:snapToGrid/>
        <w:spacing w:after="0" w:line="14" w:lineRule="exact"/>
        <w:ind w:left="0" w:leftChars="0" w:firstLine="0" w:firstLineChars="0"/>
        <w:textAlignment w:val="auto"/>
        <w:rPr>
          <w:rFonts w:hint="default"/>
          <w:color w:val="auto"/>
          <w:highlight w:val="none"/>
          <w:lang w:val="en-US" w:eastAsia="zh-CN"/>
        </w:rPr>
      </w:pPr>
    </w:p>
    <w:p>
      <w:pPr>
        <w:pStyle w:val="17"/>
        <w:rPr>
          <w:rFonts w:hint="default"/>
          <w:color w:val="auto"/>
          <w:sz w:val="28"/>
          <w:szCs w:val="28"/>
          <w:highlight w:val="none"/>
          <w:lang w:val="en-US" w:eastAsia="zh-CN"/>
        </w:rPr>
      </w:pPr>
      <w:r>
        <w:rPr>
          <w:rFonts w:hint="eastAsia"/>
          <w:color w:val="auto"/>
          <w:sz w:val="28"/>
          <w:szCs w:val="28"/>
          <w:highlight w:val="none"/>
          <w:lang w:val="en-US" w:eastAsia="zh-CN"/>
        </w:rPr>
        <w:t>附表1</w:t>
      </w:r>
    </w:p>
    <w:tbl>
      <w:tblPr>
        <w:tblStyle w:val="23"/>
        <w:tblW w:w="969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16"/>
        <w:gridCol w:w="1122"/>
        <w:gridCol w:w="4507"/>
        <w:gridCol w:w="1281"/>
        <w:gridCol w:w="18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0" w:hRule="atLeast"/>
        </w:trPr>
        <w:tc>
          <w:tcPr>
            <w:tcW w:w="9690"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auto"/>
                <w:sz w:val="36"/>
                <w:szCs w:val="36"/>
                <w:highlight w:val="none"/>
                <w:u w:val="none"/>
              </w:rPr>
            </w:pPr>
            <w:r>
              <w:rPr>
                <w:rFonts w:hint="eastAsia" w:asciiTheme="minorEastAsia" w:hAnsiTheme="minorEastAsia" w:eastAsiaTheme="minorEastAsia" w:cstheme="minorEastAsia"/>
                <w:b w:val="0"/>
                <w:bCs/>
                <w:i w:val="0"/>
                <w:color w:val="auto"/>
                <w:kern w:val="0"/>
                <w:sz w:val="28"/>
                <w:szCs w:val="28"/>
                <w:highlight w:val="none"/>
                <w:u w:val="none"/>
                <w:lang w:val="en-US" w:eastAsia="zh-CN" w:bidi="ar"/>
              </w:rPr>
              <w:t>洋坑水库除险加固工程概算总表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序号</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项目编号</w:t>
            </w:r>
          </w:p>
        </w:tc>
        <w:tc>
          <w:tcPr>
            <w:tcW w:w="45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项目名称</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投资/万元</w:t>
            </w:r>
          </w:p>
        </w:tc>
        <w:tc>
          <w:tcPr>
            <w:tcW w:w="1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80" w:hRule="atLeast"/>
        </w:trPr>
        <w:tc>
          <w:tcPr>
            <w:tcW w:w="91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w:t>
            </w:r>
          </w:p>
        </w:tc>
        <w:tc>
          <w:tcPr>
            <w:tcW w:w="1122"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color w:val="auto"/>
                <w:sz w:val="24"/>
                <w:szCs w:val="24"/>
                <w:highlight w:val="none"/>
                <w:u w:val="none"/>
              </w:rPr>
            </w:pPr>
          </w:p>
        </w:tc>
        <w:tc>
          <w:tcPr>
            <w:tcW w:w="4507"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第一部分 建筑工程</w:t>
            </w:r>
          </w:p>
        </w:tc>
        <w:tc>
          <w:tcPr>
            <w:tcW w:w="1281" w:type="dxa"/>
            <w:tcBorders>
              <w:top w:val="nil"/>
              <w:left w:val="single" w:color="000000" w:sz="4" w:space="0"/>
              <w:bottom w:val="single" w:color="000000" w:sz="4" w:space="0"/>
              <w:right w:val="single" w:color="000000" w:sz="4" w:space="0"/>
            </w:tcBorders>
            <w:shd w:val="clear" w:color="auto" w:fill="auto"/>
            <w:vAlign w:val="center"/>
          </w:tcPr>
          <w:p>
            <w:pPr>
              <w:pStyle w:val="17"/>
              <w:keepNext w:val="0"/>
              <w:keepLines w:val="0"/>
              <w:pageBreakBefore w:val="0"/>
              <w:widowControl w:val="0"/>
              <w:kinsoku/>
              <w:wordWrap/>
              <w:overflowPunct/>
              <w:topLinePunct w:val="0"/>
              <w:autoSpaceDE/>
              <w:autoSpaceDN/>
              <w:bidi w:val="0"/>
              <w:adjustRightInd/>
              <w:snapToGrid/>
              <w:ind w:left="0"/>
              <w:jc w:val="center"/>
              <w:textAlignment w:val="auto"/>
              <w:rPr>
                <w:rStyle w:val="44"/>
                <w:rFonts w:hint="eastAsia" w:ascii="仿宋_GB2312" w:hAnsi="仿宋_GB2312" w:eastAsia="仿宋_GB2312" w:cs="仿宋_GB2312"/>
                <w:color w:val="auto"/>
                <w:spacing w:val="0"/>
                <w:sz w:val="22"/>
                <w:szCs w:val="22"/>
                <w:highlight w:val="none"/>
                <w:vertAlign w:val="baseline"/>
                <w:lang w:val="en-US" w:eastAsia="zh-CN"/>
              </w:rPr>
            </w:pPr>
            <w:r>
              <w:rPr>
                <w:rStyle w:val="44"/>
                <w:rFonts w:hint="eastAsia" w:ascii="仿宋_GB2312" w:hAnsi="仿宋_GB2312" w:eastAsia="仿宋_GB2312" w:cs="仿宋_GB2312"/>
                <w:color w:val="auto"/>
                <w:spacing w:val="0"/>
                <w:sz w:val="22"/>
                <w:szCs w:val="22"/>
                <w:highlight w:val="none"/>
                <w:vertAlign w:val="baseline"/>
                <w:lang w:val="en-US" w:eastAsia="zh-CN"/>
              </w:rPr>
              <w:t>1102.64</w:t>
            </w:r>
          </w:p>
        </w:tc>
        <w:tc>
          <w:tcPr>
            <w:tcW w:w="1864" w:type="dxa"/>
            <w:tcBorders>
              <w:top w:val="nil"/>
              <w:left w:val="single" w:color="000000" w:sz="4" w:space="0"/>
              <w:bottom w:val="single" w:color="000000" w:sz="4" w:space="0"/>
              <w:right w:val="single" w:color="000000" w:sz="4" w:space="0"/>
            </w:tcBorders>
            <w:shd w:val="clear" w:color="auto" w:fill="auto"/>
            <w:vAlign w:val="center"/>
          </w:tcPr>
          <w:p>
            <w:pPr>
              <w:pStyle w:val="17"/>
              <w:keepNext w:val="0"/>
              <w:keepLines w:val="0"/>
              <w:pageBreakBefore w:val="0"/>
              <w:widowControl w:val="0"/>
              <w:kinsoku/>
              <w:wordWrap/>
              <w:overflowPunct/>
              <w:topLinePunct w:val="0"/>
              <w:autoSpaceDE/>
              <w:autoSpaceDN/>
              <w:bidi w:val="0"/>
              <w:adjustRightInd/>
              <w:snapToGrid/>
              <w:ind w:left="0"/>
              <w:jc w:val="center"/>
              <w:textAlignment w:val="auto"/>
              <w:rPr>
                <w:rStyle w:val="44"/>
                <w:rFonts w:hint="eastAsia" w:ascii="仿宋_GB2312" w:hAnsi="仿宋_GB2312" w:eastAsia="仿宋_GB2312" w:cs="仿宋_GB2312"/>
                <w:color w:val="auto"/>
                <w:spacing w:val="0"/>
                <w:sz w:val="22"/>
                <w:szCs w:val="22"/>
                <w:highlight w:val="none"/>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80" w:hRule="atLeast"/>
        </w:trPr>
        <w:tc>
          <w:tcPr>
            <w:tcW w:w="91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2</w:t>
            </w:r>
          </w:p>
        </w:tc>
        <w:tc>
          <w:tcPr>
            <w:tcW w:w="1122"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color w:val="auto"/>
                <w:sz w:val="24"/>
                <w:szCs w:val="24"/>
                <w:highlight w:val="none"/>
                <w:u w:val="none"/>
              </w:rPr>
            </w:pPr>
          </w:p>
        </w:tc>
        <w:tc>
          <w:tcPr>
            <w:tcW w:w="4507"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第二部分 机电设备及安装工程</w:t>
            </w:r>
          </w:p>
        </w:tc>
        <w:tc>
          <w:tcPr>
            <w:tcW w:w="1281" w:type="dxa"/>
            <w:tcBorders>
              <w:top w:val="nil"/>
              <w:left w:val="single" w:color="000000" w:sz="4" w:space="0"/>
              <w:bottom w:val="single" w:color="000000" w:sz="4" w:space="0"/>
              <w:right w:val="single" w:color="000000" w:sz="4" w:space="0"/>
            </w:tcBorders>
            <w:shd w:val="clear" w:color="auto" w:fill="auto"/>
            <w:vAlign w:val="center"/>
          </w:tcPr>
          <w:p>
            <w:pPr>
              <w:pStyle w:val="17"/>
              <w:keepNext w:val="0"/>
              <w:keepLines w:val="0"/>
              <w:pageBreakBefore w:val="0"/>
              <w:widowControl w:val="0"/>
              <w:kinsoku/>
              <w:wordWrap/>
              <w:overflowPunct/>
              <w:topLinePunct w:val="0"/>
              <w:autoSpaceDE/>
              <w:autoSpaceDN/>
              <w:bidi w:val="0"/>
              <w:adjustRightInd/>
              <w:snapToGrid/>
              <w:ind w:left="0"/>
              <w:jc w:val="center"/>
              <w:textAlignment w:val="auto"/>
              <w:rPr>
                <w:rStyle w:val="44"/>
                <w:rFonts w:hint="eastAsia" w:ascii="仿宋_GB2312" w:hAnsi="仿宋_GB2312" w:eastAsia="仿宋_GB2312" w:cs="仿宋_GB2312"/>
                <w:color w:val="auto"/>
                <w:spacing w:val="0"/>
                <w:sz w:val="22"/>
                <w:szCs w:val="22"/>
                <w:highlight w:val="none"/>
                <w:vertAlign w:val="baseline"/>
                <w:lang w:val="en-US" w:eastAsia="zh-CN"/>
              </w:rPr>
            </w:pPr>
            <w:r>
              <w:rPr>
                <w:rStyle w:val="44"/>
                <w:rFonts w:hint="eastAsia" w:ascii="仿宋_GB2312" w:hAnsi="仿宋_GB2312" w:eastAsia="仿宋_GB2312" w:cs="仿宋_GB2312"/>
                <w:color w:val="auto"/>
                <w:spacing w:val="0"/>
                <w:sz w:val="22"/>
                <w:szCs w:val="22"/>
                <w:highlight w:val="none"/>
                <w:vertAlign w:val="baseline"/>
                <w:lang w:val="en-US" w:eastAsia="zh-CN"/>
              </w:rPr>
              <w:t>19.98</w:t>
            </w:r>
          </w:p>
        </w:tc>
        <w:tc>
          <w:tcPr>
            <w:tcW w:w="1864" w:type="dxa"/>
            <w:tcBorders>
              <w:top w:val="nil"/>
              <w:left w:val="single" w:color="000000" w:sz="4" w:space="0"/>
              <w:bottom w:val="single" w:color="000000" w:sz="4" w:space="0"/>
              <w:right w:val="single" w:color="000000" w:sz="4" w:space="0"/>
            </w:tcBorders>
            <w:shd w:val="clear" w:color="auto" w:fill="auto"/>
            <w:vAlign w:val="center"/>
          </w:tcPr>
          <w:p>
            <w:pPr>
              <w:pStyle w:val="17"/>
              <w:keepNext w:val="0"/>
              <w:keepLines w:val="0"/>
              <w:pageBreakBefore w:val="0"/>
              <w:widowControl w:val="0"/>
              <w:kinsoku/>
              <w:wordWrap/>
              <w:overflowPunct/>
              <w:topLinePunct w:val="0"/>
              <w:autoSpaceDE/>
              <w:autoSpaceDN/>
              <w:bidi w:val="0"/>
              <w:adjustRightInd/>
              <w:snapToGrid/>
              <w:ind w:left="0"/>
              <w:jc w:val="center"/>
              <w:textAlignment w:val="auto"/>
              <w:rPr>
                <w:rStyle w:val="44"/>
                <w:rFonts w:hint="eastAsia" w:ascii="仿宋_GB2312" w:hAnsi="仿宋_GB2312" w:eastAsia="仿宋_GB2312" w:cs="仿宋_GB2312"/>
                <w:color w:val="auto"/>
                <w:spacing w:val="0"/>
                <w:sz w:val="22"/>
                <w:szCs w:val="22"/>
                <w:highlight w:val="none"/>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1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3</w:t>
            </w:r>
          </w:p>
        </w:tc>
        <w:tc>
          <w:tcPr>
            <w:tcW w:w="1122"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color w:val="auto"/>
                <w:sz w:val="24"/>
                <w:szCs w:val="24"/>
                <w:highlight w:val="none"/>
                <w:u w:val="none"/>
              </w:rPr>
            </w:pPr>
          </w:p>
        </w:tc>
        <w:tc>
          <w:tcPr>
            <w:tcW w:w="4507"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第三部分 金属结构设备及安装工程</w:t>
            </w:r>
          </w:p>
        </w:tc>
        <w:tc>
          <w:tcPr>
            <w:tcW w:w="1281" w:type="dxa"/>
            <w:tcBorders>
              <w:top w:val="nil"/>
              <w:left w:val="single" w:color="000000" w:sz="4" w:space="0"/>
              <w:bottom w:val="single" w:color="000000" w:sz="4" w:space="0"/>
              <w:right w:val="single" w:color="000000" w:sz="4" w:space="0"/>
            </w:tcBorders>
            <w:shd w:val="clear" w:color="auto" w:fill="auto"/>
            <w:vAlign w:val="center"/>
          </w:tcPr>
          <w:p>
            <w:pPr>
              <w:pStyle w:val="17"/>
              <w:keepNext w:val="0"/>
              <w:keepLines w:val="0"/>
              <w:pageBreakBefore w:val="0"/>
              <w:widowControl w:val="0"/>
              <w:kinsoku/>
              <w:wordWrap/>
              <w:overflowPunct/>
              <w:topLinePunct w:val="0"/>
              <w:autoSpaceDE/>
              <w:autoSpaceDN/>
              <w:bidi w:val="0"/>
              <w:adjustRightInd/>
              <w:snapToGrid/>
              <w:ind w:left="0"/>
              <w:jc w:val="center"/>
              <w:textAlignment w:val="auto"/>
              <w:rPr>
                <w:rStyle w:val="44"/>
                <w:rFonts w:hint="eastAsia" w:ascii="仿宋_GB2312" w:hAnsi="仿宋_GB2312" w:eastAsia="仿宋_GB2312" w:cs="仿宋_GB2312"/>
                <w:color w:val="auto"/>
                <w:spacing w:val="0"/>
                <w:sz w:val="22"/>
                <w:szCs w:val="22"/>
                <w:highlight w:val="none"/>
                <w:vertAlign w:val="baseline"/>
                <w:lang w:val="en-US" w:eastAsia="zh-CN"/>
              </w:rPr>
            </w:pPr>
            <w:r>
              <w:rPr>
                <w:rStyle w:val="44"/>
                <w:rFonts w:hint="eastAsia" w:ascii="仿宋_GB2312" w:hAnsi="仿宋_GB2312" w:eastAsia="仿宋_GB2312" w:cs="仿宋_GB2312"/>
                <w:color w:val="auto"/>
                <w:spacing w:val="0"/>
                <w:sz w:val="22"/>
                <w:szCs w:val="22"/>
                <w:highlight w:val="none"/>
                <w:vertAlign w:val="baseline"/>
                <w:lang w:val="en-US" w:eastAsia="zh-CN"/>
              </w:rPr>
              <w:t>7.2</w:t>
            </w:r>
          </w:p>
        </w:tc>
        <w:tc>
          <w:tcPr>
            <w:tcW w:w="1864" w:type="dxa"/>
            <w:tcBorders>
              <w:top w:val="nil"/>
              <w:left w:val="single" w:color="000000" w:sz="4" w:space="0"/>
              <w:bottom w:val="single" w:color="000000" w:sz="4" w:space="0"/>
              <w:right w:val="single" w:color="000000" w:sz="4" w:space="0"/>
            </w:tcBorders>
            <w:shd w:val="clear" w:color="auto" w:fill="auto"/>
            <w:vAlign w:val="center"/>
          </w:tcPr>
          <w:p>
            <w:pPr>
              <w:pStyle w:val="17"/>
              <w:keepNext w:val="0"/>
              <w:keepLines w:val="0"/>
              <w:pageBreakBefore w:val="0"/>
              <w:widowControl w:val="0"/>
              <w:kinsoku/>
              <w:wordWrap/>
              <w:overflowPunct/>
              <w:topLinePunct w:val="0"/>
              <w:autoSpaceDE/>
              <w:autoSpaceDN/>
              <w:bidi w:val="0"/>
              <w:adjustRightInd/>
              <w:snapToGrid/>
              <w:ind w:left="0"/>
              <w:jc w:val="center"/>
              <w:textAlignment w:val="auto"/>
              <w:rPr>
                <w:rStyle w:val="44"/>
                <w:rFonts w:hint="eastAsia" w:ascii="仿宋_GB2312" w:hAnsi="仿宋_GB2312" w:eastAsia="仿宋_GB2312" w:cs="仿宋_GB2312"/>
                <w:color w:val="auto"/>
                <w:spacing w:val="0"/>
                <w:sz w:val="22"/>
                <w:szCs w:val="22"/>
                <w:highlight w:val="none"/>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1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4</w:t>
            </w:r>
          </w:p>
        </w:tc>
        <w:tc>
          <w:tcPr>
            <w:tcW w:w="1122"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color w:val="auto"/>
                <w:sz w:val="24"/>
                <w:szCs w:val="24"/>
                <w:highlight w:val="none"/>
                <w:u w:val="none"/>
              </w:rPr>
            </w:pPr>
          </w:p>
        </w:tc>
        <w:tc>
          <w:tcPr>
            <w:tcW w:w="4507"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第四部分 施工临时工程</w:t>
            </w:r>
          </w:p>
        </w:tc>
        <w:tc>
          <w:tcPr>
            <w:tcW w:w="1281" w:type="dxa"/>
            <w:tcBorders>
              <w:top w:val="nil"/>
              <w:left w:val="single" w:color="000000" w:sz="4" w:space="0"/>
              <w:bottom w:val="single" w:color="000000" w:sz="4" w:space="0"/>
              <w:right w:val="single" w:color="000000" w:sz="4" w:space="0"/>
            </w:tcBorders>
            <w:shd w:val="clear" w:color="auto" w:fill="auto"/>
            <w:vAlign w:val="center"/>
          </w:tcPr>
          <w:p>
            <w:pPr>
              <w:pStyle w:val="17"/>
              <w:keepNext w:val="0"/>
              <w:keepLines w:val="0"/>
              <w:pageBreakBefore w:val="0"/>
              <w:widowControl w:val="0"/>
              <w:kinsoku/>
              <w:wordWrap/>
              <w:overflowPunct/>
              <w:topLinePunct w:val="0"/>
              <w:autoSpaceDE/>
              <w:autoSpaceDN/>
              <w:bidi w:val="0"/>
              <w:adjustRightInd/>
              <w:snapToGrid/>
              <w:ind w:left="0"/>
              <w:jc w:val="center"/>
              <w:textAlignment w:val="auto"/>
              <w:rPr>
                <w:rStyle w:val="44"/>
                <w:rFonts w:hint="eastAsia" w:ascii="仿宋_GB2312" w:hAnsi="仿宋_GB2312" w:eastAsia="仿宋_GB2312" w:cs="仿宋_GB2312"/>
                <w:color w:val="auto"/>
                <w:spacing w:val="0"/>
                <w:sz w:val="22"/>
                <w:szCs w:val="22"/>
                <w:highlight w:val="none"/>
                <w:vertAlign w:val="baseline"/>
                <w:lang w:val="en-US" w:eastAsia="zh-CN"/>
              </w:rPr>
            </w:pPr>
            <w:r>
              <w:rPr>
                <w:rStyle w:val="44"/>
                <w:rFonts w:hint="eastAsia" w:ascii="仿宋_GB2312" w:hAnsi="仿宋_GB2312" w:eastAsia="仿宋_GB2312" w:cs="仿宋_GB2312"/>
                <w:color w:val="auto"/>
                <w:spacing w:val="0"/>
                <w:sz w:val="22"/>
                <w:szCs w:val="22"/>
                <w:highlight w:val="none"/>
                <w:vertAlign w:val="baseline"/>
                <w:lang w:val="en-US" w:eastAsia="zh-CN"/>
              </w:rPr>
              <w:t>55.89</w:t>
            </w:r>
          </w:p>
        </w:tc>
        <w:tc>
          <w:tcPr>
            <w:tcW w:w="1864" w:type="dxa"/>
            <w:tcBorders>
              <w:top w:val="nil"/>
              <w:left w:val="single" w:color="000000" w:sz="4" w:space="0"/>
              <w:bottom w:val="single" w:color="000000" w:sz="4" w:space="0"/>
              <w:right w:val="single" w:color="000000" w:sz="4" w:space="0"/>
            </w:tcBorders>
            <w:shd w:val="clear" w:color="auto" w:fill="auto"/>
            <w:vAlign w:val="center"/>
          </w:tcPr>
          <w:p>
            <w:pPr>
              <w:pStyle w:val="17"/>
              <w:keepNext w:val="0"/>
              <w:keepLines w:val="0"/>
              <w:pageBreakBefore w:val="0"/>
              <w:widowControl w:val="0"/>
              <w:kinsoku/>
              <w:wordWrap/>
              <w:overflowPunct/>
              <w:topLinePunct w:val="0"/>
              <w:autoSpaceDE/>
              <w:autoSpaceDN/>
              <w:bidi w:val="0"/>
              <w:adjustRightInd/>
              <w:snapToGrid/>
              <w:ind w:left="0"/>
              <w:jc w:val="center"/>
              <w:textAlignment w:val="auto"/>
              <w:rPr>
                <w:rStyle w:val="44"/>
                <w:rFonts w:hint="eastAsia" w:ascii="仿宋_GB2312" w:hAnsi="仿宋_GB2312" w:eastAsia="仿宋_GB2312" w:cs="仿宋_GB2312"/>
                <w:color w:val="auto"/>
                <w:spacing w:val="0"/>
                <w:sz w:val="22"/>
                <w:szCs w:val="22"/>
                <w:highlight w:val="none"/>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80" w:hRule="atLeast"/>
        </w:trPr>
        <w:tc>
          <w:tcPr>
            <w:tcW w:w="91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5</w:t>
            </w:r>
          </w:p>
        </w:tc>
        <w:tc>
          <w:tcPr>
            <w:tcW w:w="1122"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color w:val="auto"/>
                <w:sz w:val="24"/>
                <w:szCs w:val="24"/>
                <w:highlight w:val="none"/>
                <w:u w:val="none"/>
              </w:rPr>
            </w:pPr>
          </w:p>
        </w:tc>
        <w:tc>
          <w:tcPr>
            <w:tcW w:w="4507"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第五部分 独立费用</w:t>
            </w:r>
          </w:p>
        </w:tc>
        <w:tc>
          <w:tcPr>
            <w:tcW w:w="1281" w:type="dxa"/>
            <w:tcBorders>
              <w:top w:val="nil"/>
              <w:left w:val="single" w:color="000000" w:sz="4" w:space="0"/>
              <w:bottom w:val="single" w:color="000000" w:sz="4" w:space="0"/>
              <w:right w:val="single" w:color="000000" w:sz="4" w:space="0"/>
            </w:tcBorders>
            <w:shd w:val="clear" w:color="auto" w:fill="auto"/>
            <w:vAlign w:val="center"/>
          </w:tcPr>
          <w:p>
            <w:pPr>
              <w:pStyle w:val="17"/>
              <w:keepNext w:val="0"/>
              <w:keepLines w:val="0"/>
              <w:pageBreakBefore w:val="0"/>
              <w:widowControl w:val="0"/>
              <w:kinsoku/>
              <w:wordWrap/>
              <w:overflowPunct/>
              <w:topLinePunct w:val="0"/>
              <w:autoSpaceDE/>
              <w:autoSpaceDN/>
              <w:bidi w:val="0"/>
              <w:adjustRightInd/>
              <w:snapToGrid/>
              <w:ind w:left="0"/>
              <w:jc w:val="center"/>
              <w:textAlignment w:val="auto"/>
              <w:rPr>
                <w:rStyle w:val="44"/>
                <w:rFonts w:hint="eastAsia" w:ascii="仿宋_GB2312" w:hAnsi="仿宋_GB2312" w:eastAsia="仿宋_GB2312" w:cs="仿宋_GB2312"/>
                <w:color w:val="auto"/>
                <w:spacing w:val="0"/>
                <w:sz w:val="22"/>
                <w:szCs w:val="22"/>
                <w:highlight w:val="none"/>
                <w:vertAlign w:val="baseline"/>
                <w:lang w:val="en-US" w:eastAsia="zh-CN"/>
              </w:rPr>
            </w:pPr>
            <w:r>
              <w:rPr>
                <w:rStyle w:val="44"/>
                <w:rFonts w:hint="eastAsia" w:ascii="仿宋_GB2312" w:hAnsi="仿宋_GB2312" w:eastAsia="仿宋_GB2312" w:cs="仿宋_GB2312"/>
                <w:color w:val="auto"/>
                <w:spacing w:val="0"/>
                <w:sz w:val="22"/>
                <w:szCs w:val="22"/>
                <w:highlight w:val="none"/>
                <w:vertAlign w:val="baseline"/>
                <w:lang w:val="en-US" w:eastAsia="zh-CN"/>
              </w:rPr>
              <w:t>247.05</w:t>
            </w:r>
          </w:p>
        </w:tc>
        <w:tc>
          <w:tcPr>
            <w:tcW w:w="1864" w:type="dxa"/>
            <w:tcBorders>
              <w:top w:val="nil"/>
              <w:left w:val="single" w:color="000000" w:sz="4" w:space="0"/>
              <w:bottom w:val="single" w:color="000000" w:sz="4" w:space="0"/>
              <w:right w:val="single" w:color="000000" w:sz="4" w:space="0"/>
            </w:tcBorders>
            <w:shd w:val="clear" w:color="auto" w:fill="auto"/>
            <w:vAlign w:val="center"/>
          </w:tcPr>
          <w:p>
            <w:pPr>
              <w:pStyle w:val="17"/>
              <w:keepNext w:val="0"/>
              <w:keepLines w:val="0"/>
              <w:pageBreakBefore w:val="0"/>
              <w:widowControl w:val="0"/>
              <w:kinsoku/>
              <w:wordWrap/>
              <w:overflowPunct/>
              <w:topLinePunct w:val="0"/>
              <w:autoSpaceDE/>
              <w:autoSpaceDN/>
              <w:bidi w:val="0"/>
              <w:adjustRightInd/>
              <w:snapToGrid/>
              <w:ind w:left="0"/>
              <w:jc w:val="center"/>
              <w:textAlignment w:val="auto"/>
              <w:rPr>
                <w:rStyle w:val="44"/>
                <w:rFonts w:hint="eastAsia" w:ascii="仿宋_GB2312" w:hAnsi="仿宋_GB2312" w:eastAsia="仿宋_GB2312" w:cs="仿宋_GB2312"/>
                <w:color w:val="auto"/>
                <w:spacing w:val="0"/>
                <w:sz w:val="22"/>
                <w:szCs w:val="22"/>
                <w:highlight w:val="none"/>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80" w:hRule="atLeast"/>
        </w:trPr>
        <w:tc>
          <w:tcPr>
            <w:tcW w:w="91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6</w:t>
            </w:r>
          </w:p>
        </w:tc>
        <w:tc>
          <w:tcPr>
            <w:tcW w:w="1122"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color w:val="auto"/>
                <w:sz w:val="24"/>
                <w:szCs w:val="24"/>
                <w:highlight w:val="none"/>
                <w:u w:val="none"/>
              </w:rPr>
            </w:pPr>
          </w:p>
        </w:tc>
        <w:tc>
          <w:tcPr>
            <w:tcW w:w="4507"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一至五部分投资合计</w:t>
            </w:r>
          </w:p>
        </w:tc>
        <w:tc>
          <w:tcPr>
            <w:tcW w:w="1281" w:type="dxa"/>
            <w:tcBorders>
              <w:top w:val="nil"/>
              <w:left w:val="single" w:color="000000" w:sz="4" w:space="0"/>
              <w:bottom w:val="single" w:color="000000" w:sz="4" w:space="0"/>
              <w:right w:val="single" w:color="000000" w:sz="4" w:space="0"/>
            </w:tcBorders>
            <w:shd w:val="clear" w:color="auto" w:fill="auto"/>
            <w:vAlign w:val="center"/>
          </w:tcPr>
          <w:p>
            <w:pPr>
              <w:pStyle w:val="17"/>
              <w:keepNext w:val="0"/>
              <w:keepLines w:val="0"/>
              <w:pageBreakBefore w:val="0"/>
              <w:widowControl w:val="0"/>
              <w:kinsoku/>
              <w:wordWrap/>
              <w:overflowPunct/>
              <w:topLinePunct w:val="0"/>
              <w:autoSpaceDE/>
              <w:autoSpaceDN/>
              <w:bidi w:val="0"/>
              <w:adjustRightInd/>
              <w:snapToGrid/>
              <w:ind w:left="0"/>
              <w:jc w:val="center"/>
              <w:textAlignment w:val="auto"/>
              <w:rPr>
                <w:rStyle w:val="44"/>
                <w:rFonts w:hint="eastAsia" w:ascii="仿宋_GB2312" w:hAnsi="仿宋_GB2312" w:eastAsia="仿宋_GB2312" w:cs="仿宋_GB2312"/>
                <w:color w:val="auto"/>
                <w:spacing w:val="0"/>
                <w:sz w:val="22"/>
                <w:szCs w:val="22"/>
                <w:highlight w:val="none"/>
                <w:vertAlign w:val="baseline"/>
                <w:lang w:val="en-US" w:eastAsia="zh-CN"/>
              </w:rPr>
            </w:pPr>
            <w:r>
              <w:rPr>
                <w:rStyle w:val="44"/>
                <w:rFonts w:hint="eastAsia" w:ascii="仿宋_GB2312" w:hAnsi="仿宋_GB2312" w:eastAsia="仿宋_GB2312" w:cs="仿宋_GB2312"/>
                <w:color w:val="auto"/>
                <w:spacing w:val="0"/>
                <w:sz w:val="22"/>
                <w:szCs w:val="22"/>
                <w:highlight w:val="none"/>
                <w:vertAlign w:val="baseline"/>
                <w:lang w:val="en-US" w:eastAsia="zh-CN"/>
              </w:rPr>
              <w:t>1432.76</w:t>
            </w:r>
          </w:p>
        </w:tc>
        <w:tc>
          <w:tcPr>
            <w:tcW w:w="1864" w:type="dxa"/>
            <w:tcBorders>
              <w:top w:val="nil"/>
              <w:left w:val="single" w:color="000000" w:sz="4" w:space="0"/>
              <w:bottom w:val="single" w:color="000000" w:sz="4" w:space="0"/>
              <w:right w:val="single" w:color="000000" w:sz="4" w:space="0"/>
            </w:tcBorders>
            <w:shd w:val="clear" w:color="auto" w:fill="auto"/>
            <w:vAlign w:val="center"/>
          </w:tcPr>
          <w:p>
            <w:pPr>
              <w:pStyle w:val="17"/>
              <w:keepNext w:val="0"/>
              <w:keepLines w:val="0"/>
              <w:pageBreakBefore w:val="0"/>
              <w:widowControl w:val="0"/>
              <w:kinsoku/>
              <w:wordWrap/>
              <w:overflowPunct/>
              <w:topLinePunct w:val="0"/>
              <w:autoSpaceDE/>
              <w:autoSpaceDN/>
              <w:bidi w:val="0"/>
              <w:adjustRightInd/>
              <w:snapToGrid/>
              <w:ind w:left="0"/>
              <w:jc w:val="center"/>
              <w:textAlignment w:val="auto"/>
              <w:rPr>
                <w:rStyle w:val="44"/>
                <w:rFonts w:hint="eastAsia" w:ascii="仿宋_GB2312" w:hAnsi="仿宋_GB2312" w:eastAsia="仿宋_GB2312" w:cs="仿宋_GB2312"/>
                <w:color w:val="auto"/>
                <w:spacing w:val="0"/>
                <w:sz w:val="22"/>
                <w:szCs w:val="22"/>
                <w:highlight w:val="none"/>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1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7</w:t>
            </w:r>
          </w:p>
        </w:tc>
        <w:tc>
          <w:tcPr>
            <w:tcW w:w="1122"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color w:val="auto"/>
                <w:sz w:val="24"/>
                <w:szCs w:val="24"/>
                <w:highlight w:val="none"/>
                <w:u w:val="none"/>
              </w:rPr>
            </w:pPr>
          </w:p>
        </w:tc>
        <w:tc>
          <w:tcPr>
            <w:tcW w:w="4507"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基本预备费</w:t>
            </w:r>
          </w:p>
        </w:tc>
        <w:tc>
          <w:tcPr>
            <w:tcW w:w="1281" w:type="dxa"/>
            <w:tcBorders>
              <w:top w:val="nil"/>
              <w:left w:val="single" w:color="000000" w:sz="4" w:space="0"/>
              <w:bottom w:val="single" w:color="000000" w:sz="4" w:space="0"/>
              <w:right w:val="single" w:color="000000" w:sz="4" w:space="0"/>
            </w:tcBorders>
            <w:shd w:val="clear" w:color="auto" w:fill="auto"/>
            <w:vAlign w:val="center"/>
          </w:tcPr>
          <w:p>
            <w:pPr>
              <w:pStyle w:val="17"/>
              <w:keepNext w:val="0"/>
              <w:keepLines w:val="0"/>
              <w:pageBreakBefore w:val="0"/>
              <w:widowControl w:val="0"/>
              <w:kinsoku/>
              <w:wordWrap/>
              <w:overflowPunct/>
              <w:topLinePunct w:val="0"/>
              <w:autoSpaceDE/>
              <w:autoSpaceDN/>
              <w:bidi w:val="0"/>
              <w:adjustRightInd/>
              <w:snapToGrid/>
              <w:ind w:left="0"/>
              <w:jc w:val="center"/>
              <w:textAlignment w:val="auto"/>
              <w:rPr>
                <w:rStyle w:val="44"/>
                <w:rFonts w:hint="eastAsia" w:ascii="仿宋_GB2312" w:hAnsi="仿宋_GB2312" w:eastAsia="仿宋_GB2312" w:cs="仿宋_GB2312"/>
                <w:color w:val="auto"/>
                <w:spacing w:val="0"/>
                <w:sz w:val="22"/>
                <w:szCs w:val="22"/>
                <w:highlight w:val="none"/>
                <w:vertAlign w:val="baseline"/>
                <w:lang w:val="en-US" w:eastAsia="zh-CN"/>
              </w:rPr>
            </w:pPr>
            <w:r>
              <w:rPr>
                <w:rStyle w:val="44"/>
                <w:rFonts w:hint="eastAsia" w:ascii="仿宋_GB2312" w:hAnsi="仿宋_GB2312" w:eastAsia="仿宋_GB2312" w:cs="仿宋_GB2312"/>
                <w:color w:val="auto"/>
                <w:spacing w:val="0"/>
                <w:sz w:val="22"/>
                <w:szCs w:val="22"/>
                <w:highlight w:val="none"/>
                <w:vertAlign w:val="baseline"/>
                <w:lang w:val="en-US" w:eastAsia="zh-CN"/>
              </w:rPr>
              <w:t>71.64</w:t>
            </w:r>
          </w:p>
        </w:tc>
        <w:tc>
          <w:tcPr>
            <w:tcW w:w="1864" w:type="dxa"/>
            <w:tcBorders>
              <w:top w:val="nil"/>
              <w:left w:val="single" w:color="000000" w:sz="4" w:space="0"/>
              <w:bottom w:val="single" w:color="000000" w:sz="4" w:space="0"/>
              <w:right w:val="single" w:color="000000" w:sz="4" w:space="0"/>
            </w:tcBorders>
            <w:shd w:val="clear" w:color="auto" w:fill="auto"/>
            <w:vAlign w:val="center"/>
          </w:tcPr>
          <w:p>
            <w:pPr>
              <w:pStyle w:val="17"/>
              <w:keepNext w:val="0"/>
              <w:keepLines w:val="0"/>
              <w:pageBreakBefore w:val="0"/>
              <w:widowControl w:val="0"/>
              <w:kinsoku/>
              <w:wordWrap/>
              <w:overflowPunct/>
              <w:topLinePunct w:val="0"/>
              <w:autoSpaceDE/>
              <w:autoSpaceDN/>
              <w:bidi w:val="0"/>
              <w:adjustRightInd/>
              <w:snapToGrid/>
              <w:ind w:left="0"/>
              <w:jc w:val="center"/>
              <w:textAlignment w:val="auto"/>
              <w:rPr>
                <w:rStyle w:val="44"/>
                <w:rFonts w:hint="eastAsia" w:ascii="仿宋_GB2312" w:hAnsi="仿宋_GB2312" w:eastAsia="仿宋_GB2312" w:cs="仿宋_GB2312"/>
                <w:color w:val="auto"/>
                <w:spacing w:val="0"/>
                <w:sz w:val="22"/>
                <w:szCs w:val="22"/>
                <w:highlight w:val="none"/>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1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8</w:t>
            </w:r>
          </w:p>
        </w:tc>
        <w:tc>
          <w:tcPr>
            <w:tcW w:w="1122"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I</w:t>
            </w:r>
          </w:p>
        </w:tc>
        <w:tc>
          <w:tcPr>
            <w:tcW w:w="4507"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工程部分静态投资</w:t>
            </w:r>
          </w:p>
        </w:tc>
        <w:tc>
          <w:tcPr>
            <w:tcW w:w="1281" w:type="dxa"/>
            <w:tcBorders>
              <w:top w:val="nil"/>
              <w:left w:val="single" w:color="000000" w:sz="4" w:space="0"/>
              <w:bottom w:val="single" w:color="000000" w:sz="4" w:space="0"/>
              <w:right w:val="single" w:color="000000" w:sz="4" w:space="0"/>
            </w:tcBorders>
            <w:shd w:val="clear" w:color="auto" w:fill="auto"/>
            <w:vAlign w:val="center"/>
          </w:tcPr>
          <w:p>
            <w:pPr>
              <w:pStyle w:val="17"/>
              <w:keepNext w:val="0"/>
              <w:keepLines w:val="0"/>
              <w:pageBreakBefore w:val="0"/>
              <w:widowControl w:val="0"/>
              <w:kinsoku/>
              <w:wordWrap/>
              <w:overflowPunct/>
              <w:topLinePunct w:val="0"/>
              <w:autoSpaceDE/>
              <w:autoSpaceDN/>
              <w:bidi w:val="0"/>
              <w:adjustRightInd/>
              <w:snapToGrid/>
              <w:ind w:left="0"/>
              <w:jc w:val="center"/>
              <w:textAlignment w:val="auto"/>
              <w:rPr>
                <w:rStyle w:val="44"/>
                <w:rFonts w:hint="eastAsia" w:ascii="仿宋_GB2312" w:hAnsi="仿宋_GB2312" w:eastAsia="仿宋_GB2312" w:cs="仿宋_GB2312"/>
                <w:color w:val="auto"/>
                <w:spacing w:val="0"/>
                <w:sz w:val="22"/>
                <w:szCs w:val="22"/>
                <w:highlight w:val="none"/>
                <w:vertAlign w:val="baseline"/>
                <w:lang w:val="en-US" w:eastAsia="zh-CN"/>
              </w:rPr>
            </w:pPr>
            <w:r>
              <w:rPr>
                <w:rStyle w:val="44"/>
                <w:rFonts w:hint="eastAsia" w:ascii="仿宋_GB2312" w:hAnsi="仿宋_GB2312" w:eastAsia="仿宋_GB2312" w:cs="仿宋_GB2312"/>
                <w:color w:val="auto"/>
                <w:spacing w:val="0"/>
                <w:sz w:val="22"/>
                <w:szCs w:val="22"/>
                <w:highlight w:val="none"/>
                <w:vertAlign w:val="baseline"/>
                <w:lang w:val="en-US" w:eastAsia="zh-CN"/>
              </w:rPr>
              <w:t>1504.4</w:t>
            </w:r>
          </w:p>
        </w:tc>
        <w:tc>
          <w:tcPr>
            <w:tcW w:w="1864" w:type="dxa"/>
            <w:tcBorders>
              <w:top w:val="nil"/>
              <w:left w:val="single" w:color="000000" w:sz="4" w:space="0"/>
              <w:bottom w:val="single" w:color="000000" w:sz="4" w:space="0"/>
              <w:right w:val="single" w:color="000000" w:sz="4" w:space="0"/>
            </w:tcBorders>
            <w:shd w:val="clear" w:color="auto" w:fill="auto"/>
            <w:vAlign w:val="center"/>
          </w:tcPr>
          <w:p>
            <w:pPr>
              <w:pStyle w:val="17"/>
              <w:keepNext w:val="0"/>
              <w:keepLines w:val="0"/>
              <w:pageBreakBefore w:val="0"/>
              <w:widowControl w:val="0"/>
              <w:kinsoku/>
              <w:wordWrap/>
              <w:overflowPunct/>
              <w:topLinePunct w:val="0"/>
              <w:autoSpaceDE/>
              <w:autoSpaceDN/>
              <w:bidi w:val="0"/>
              <w:adjustRightInd/>
              <w:snapToGrid/>
              <w:ind w:left="0"/>
              <w:jc w:val="center"/>
              <w:textAlignment w:val="auto"/>
              <w:rPr>
                <w:rStyle w:val="44"/>
                <w:rFonts w:hint="eastAsia" w:ascii="仿宋_GB2312" w:hAnsi="仿宋_GB2312" w:eastAsia="仿宋_GB2312" w:cs="仿宋_GB2312"/>
                <w:color w:val="auto"/>
                <w:spacing w:val="0"/>
                <w:sz w:val="22"/>
                <w:szCs w:val="22"/>
                <w:highlight w:val="none"/>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80" w:hRule="atLeast"/>
        </w:trPr>
        <w:tc>
          <w:tcPr>
            <w:tcW w:w="91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9</w:t>
            </w:r>
          </w:p>
        </w:tc>
        <w:tc>
          <w:tcPr>
            <w:tcW w:w="1122"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color w:val="auto"/>
                <w:sz w:val="24"/>
                <w:szCs w:val="24"/>
                <w:highlight w:val="none"/>
                <w:u w:val="none"/>
              </w:rPr>
            </w:pPr>
          </w:p>
        </w:tc>
        <w:tc>
          <w:tcPr>
            <w:tcW w:w="4507"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价差预备费</w:t>
            </w:r>
          </w:p>
        </w:tc>
        <w:tc>
          <w:tcPr>
            <w:tcW w:w="1281" w:type="dxa"/>
            <w:tcBorders>
              <w:top w:val="nil"/>
              <w:left w:val="single" w:color="000000" w:sz="4" w:space="0"/>
              <w:bottom w:val="single" w:color="000000" w:sz="4" w:space="0"/>
              <w:right w:val="single" w:color="000000" w:sz="4" w:space="0"/>
            </w:tcBorders>
            <w:shd w:val="clear" w:color="auto" w:fill="auto"/>
            <w:vAlign w:val="center"/>
          </w:tcPr>
          <w:p>
            <w:pPr>
              <w:pStyle w:val="17"/>
              <w:keepNext w:val="0"/>
              <w:keepLines w:val="0"/>
              <w:pageBreakBefore w:val="0"/>
              <w:widowControl w:val="0"/>
              <w:kinsoku/>
              <w:wordWrap/>
              <w:overflowPunct/>
              <w:topLinePunct w:val="0"/>
              <w:autoSpaceDE/>
              <w:autoSpaceDN/>
              <w:bidi w:val="0"/>
              <w:adjustRightInd/>
              <w:snapToGrid/>
              <w:ind w:left="0"/>
              <w:jc w:val="center"/>
              <w:textAlignment w:val="auto"/>
              <w:rPr>
                <w:rStyle w:val="44"/>
                <w:rFonts w:hint="eastAsia" w:ascii="仿宋_GB2312" w:hAnsi="仿宋_GB2312" w:eastAsia="仿宋_GB2312" w:cs="仿宋_GB2312"/>
                <w:color w:val="auto"/>
                <w:spacing w:val="0"/>
                <w:sz w:val="22"/>
                <w:szCs w:val="22"/>
                <w:highlight w:val="none"/>
                <w:vertAlign w:val="baseline"/>
                <w:lang w:val="en-US" w:eastAsia="zh-CN"/>
              </w:rPr>
            </w:pPr>
            <w:r>
              <w:rPr>
                <w:rStyle w:val="44"/>
                <w:rFonts w:hint="eastAsia" w:ascii="仿宋_GB2312" w:hAnsi="仿宋_GB2312" w:eastAsia="仿宋_GB2312" w:cs="仿宋_GB2312"/>
                <w:color w:val="auto"/>
                <w:spacing w:val="0"/>
                <w:sz w:val="22"/>
                <w:szCs w:val="22"/>
                <w:highlight w:val="none"/>
                <w:vertAlign w:val="baseline"/>
                <w:lang w:val="en-US" w:eastAsia="zh-CN"/>
              </w:rPr>
              <w:t xml:space="preserve"> </w:t>
            </w:r>
          </w:p>
        </w:tc>
        <w:tc>
          <w:tcPr>
            <w:tcW w:w="1864" w:type="dxa"/>
            <w:tcBorders>
              <w:top w:val="nil"/>
              <w:left w:val="single" w:color="000000" w:sz="4" w:space="0"/>
              <w:bottom w:val="single" w:color="000000" w:sz="4" w:space="0"/>
              <w:right w:val="single" w:color="000000" w:sz="4" w:space="0"/>
            </w:tcBorders>
            <w:shd w:val="clear" w:color="auto" w:fill="auto"/>
            <w:vAlign w:val="center"/>
          </w:tcPr>
          <w:p>
            <w:pPr>
              <w:pStyle w:val="17"/>
              <w:keepNext w:val="0"/>
              <w:keepLines w:val="0"/>
              <w:pageBreakBefore w:val="0"/>
              <w:widowControl w:val="0"/>
              <w:kinsoku/>
              <w:wordWrap/>
              <w:overflowPunct/>
              <w:topLinePunct w:val="0"/>
              <w:autoSpaceDE/>
              <w:autoSpaceDN/>
              <w:bidi w:val="0"/>
              <w:adjustRightInd/>
              <w:snapToGrid/>
              <w:ind w:left="0"/>
              <w:jc w:val="center"/>
              <w:textAlignment w:val="auto"/>
              <w:rPr>
                <w:rStyle w:val="44"/>
                <w:rFonts w:hint="eastAsia" w:ascii="仿宋_GB2312" w:hAnsi="仿宋_GB2312" w:eastAsia="仿宋_GB2312" w:cs="仿宋_GB2312"/>
                <w:color w:val="auto"/>
                <w:spacing w:val="0"/>
                <w:sz w:val="22"/>
                <w:szCs w:val="22"/>
                <w:highlight w:val="none"/>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80" w:hRule="atLeast"/>
        </w:trPr>
        <w:tc>
          <w:tcPr>
            <w:tcW w:w="91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10</w:t>
            </w:r>
          </w:p>
        </w:tc>
        <w:tc>
          <w:tcPr>
            <w:tcW w:w="1122"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II</w:t>
            </w:r>
          </w:p>
        </w:tc>
        <w:tc>
          <w:tcPr>
            <w:tcW w:w="4507"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建设征地移民补偿静态投资</w:t>
            </w:r>
          </w:p>
        </w:tc>
        <w:tc>
          <w:tcPr>
            <w:tcW w:w="1281" w:type="dxa"/>
            <w:tcBorders>
              <w:top w:val="nil"/>
              <w:left w:val="single" w:color="000000" w:sz="4" w:space="0"/>
              <w:bottom w:val="single" w:color="000000" w:sz="4" w:space="0"/>
              <w:right w:val="single" w:color="000000" w:sz="4" w:space="0"/>
            </w:tcBorders>
            <w:shd w:val="clear" w:color="auto" w:fill="auto"/>
            <w:vAlign w:val="center"/>
          </w:tcPr>
          <w:p>
            <w:pPr>
              <w:pStyle w:val="17"/>
              <w:keepNext w:val="0"/>
              <w:keepLines w:val="0"/>
              <w:pageBreakBefore w:val="0"/>
              <w:widowControl w:val="0"/>
              <w:kinsoku/>
              <w:wordWrap/>
              <w:overflowPunct/>
              <w:topLinePunct w:val="0"/>
              <w:autoSpaceDE/>
              <w:autoSpaceDN/>
              <w:bidi w:val="0"/>
              <w:adjustRightInd/>
              <w:snapToGrid/>
              <w:ind w:left="0"/>
              <w:jc w:val="center"/>
              <w:textAlignment w:val="auto"/>
              <w:rPr>
                <w:rStyle w:val="44"/>
                <w:rFonts w:hint="eastAsia" w:ascii="仿宋_GB2312" w:hAnsi="仿宋_GB2312" w:eastAsia="仿宋_GB2312" w:cs="仿宋_GB2312"/>
                <w:color w:val="auto"/>
                <w:spacing w:val="0"/>
                <w:sz w:val="22"/>
                <w:szCs w:val="22"/>
                <w:highlight w:val="none"/>
                <w:vertAlign w:val="baseline"/>
                <w:lang w:val="en-US" w:eastAsia="zh-CN"/>
              </w:rPr>
            </w:pPr>
            <w:r>
              <w:rPr>
                <w:rStyle w:val="44"/>
                <w:rFonts w:hint="eastAsia" w:ascii="仿宋_GB2312" w:hAnsi="仿宋_GB2312" w:eastAsia="仿宋_GB2312" w:cs="仿宋_GB2312"/>
                <w:color w:val="auto"/>
                <w:spacing w:val="0"/>
                <w:sz w:val="22"/>
                <w:szCs w:val="22"/>
                <w:highlight w:val="none"/>
                <w:vertAlign w:val="baseline"/>
                <w:lang w:val="en-US" w:eastAsia="zh-CN"/>
              </w:rPr>
              <w:t>33.96</w:t>
            </w:r>
          </w:p>
        </w:tc>
        <w:tc>
          <w:tcPr>
            <w:tcW w:w="1864" w:type="dxa"/>
            <w:tcBorders>
              <w:top w:val="nil"/>
              <w:left w:val="single" w:color="000000" w:sz="4" w:space="0"/>
              <w:bottom w:val="single" w:color="000000" w:sz="4" w:space="0"/>
              <w:right w:val="single" w:color="000000" w:sz="4" w:space="0"/>
            </w:tcBorders>
            <w:shd w:val="clear" w:color="auto" w:fill="auto"/>
            <w:vAlign w:val="center"/>
          </w:tcPr>
          <w:p>
            <w:pPr>
              <w:pStyle w:val="17"/>
              <w:keepNext w:val="0"/>
              <w:keepLines w:val="0"/>
              <w:pageBreakBefore w:val="0"/>
              <w:widowControl w:val="0"/>
              <w:kinsoku/>
              <w:wordWrap/>
              <w:overflowPunct/>
              <w:topLinePunct w:val="0"/>
              <w:autoSpaceDE/>
              <w:autoSpaceDN/>
              <w:bidi w:val="0"/>
              <w:adjustRightInd/>
              <w:snapToGrid/>
              <w:ind w:left="0"/>
              <w:jc w:val="center"/>
              <w:textAlignment w:val="auto"/>
              <w:rPr>
                <w:rStyle w:val="44"/>
                <w:rFonts w:hint="eastAsia" w:ascii="仿宋_GB2312" w:hAnsi="仿宋_GB2312" w:eastAsia="仿宋_GB2312" w:cs="仿宋_GB2312"/>
                <w:color w:val="auto"/>
                <w:spacing w:val="0"/>
                <w:sz w:val="22"/>
                <w:szCs w:val="22"/>
                <w:highlight w:val="none"/>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1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11</w:t>
            </w:r>
          </w:p>
        </w:tc>
        <w:tc>
          <w:tcPr>
            <w:tcW w:w="1122"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III</w:t>
            </w:r>
          </w:p>
        </w:tc>
        <w:tc>
          <w:tcPr>
            <w:tcW w:w="4507"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水土保持工程静态投资</w:t>
            </w:r>
          </w:p>
        </w:tc>
        <w:tc>
          <w:tcPr>
            <w:tcW w:w="1281" w:type="dxa"/>
            <w:tcBorders>
              <w:top w:val="nil"/>
              <w:left w:val="single" w:color="000000" w:sz="4" w:space="0"/>
              <w:bottom w:val="single" w:color="000000" w:sz="4" w:space="0"/>
              <w:right w:val="single" w:color="000000" w:sz="4" w:space="0"/>
            </w:tcBorders>
            <w:shd w:val="clear" w:color="auto" w:fill="auto"/>
            <w:vAlign w:val="center"/>
          </w:tcPr>
          <w:p>
            <w:pPr>
              <w:pStyle w:val="17"/>
              <w:keepNext w:val="0"/>
              <w:keepLines w:val="0"/>
              <w:pageBreakBefore w:val="0"/>
              <w:widowControl w:val="0"/>
              <w:kinsoku/>
              <w:wordWrap/>
              <w:overflowPunct/>
              <w:topLinePunct w:val="0"/>
              <w:autoSpaceDE/>
              <w:autoSpaceDN/>
              <w:bidi w:val="0"/>
              <w:adjustRightInd/>
              <w:snapToGrid/>
              <w:ind w:left="0"/>
              <w:jc w:val="center"/>
              <w:textAlignment w:val="auto"/>
              <w:rPr>
                <w:rStyle w:val="44"/>
                <w:rFonts w:hint="eastAsia" w:ascii="仿宋_GB2312" w:hAnsi="仿宋_GB2312" w:eastAsia="仿宋_GB2312" w:cs="仿宋_GB2312"/>
                <w:color w:val="auto"/>
                <w:spacing w:val="0"/>
                <w:sz w:val="22"/>
                <w:szCs w:val="22"/>
                <w:highlight w:val="none"/>
                <w:vertAlign w:val="baseline"/>
                <w:lang w:val="en-US" w:eastAsia="zh-CN"/>
              </w:rPr>
            </w:pPr>
            <w:r>
              <w:rPr>
                <w:rStyle w:val="44"/>
                <w:rFonts w:hint="eastAsia" w:ascii="仿宋_GB2312" w:hAnsi="仿宋_GB2312" w:eastAsia="仿宋_GB2312" w:cs="仿宋_GB2312"/>
                <w:color w:val="auto"/>
                <w:spacing w:val="0"/>
                <w:sz w:val="22"/>
                <w:szCs w:val="22"/>
                <w:highlight w:val="none"/>
                <w:vertAlign w:val="baseline"/>
                <w:lang w:val="en-US" w:eastAsia="zh-CN"/>
              </w:rPr>
              <w:t>23.99</w:t>
            </w:r>
          </w:p>
        </w:tc>
        <w:tc>
          <w:tcPr>
            <w:tcW w:w="1864" w:type="dxa"/>
            <w:tcBorders>
              <w:top w:val="nil"/>
              <w:left w:val="single" w:color="000000" w:sz="4" w:space="0"/>
              <w:bottom w:val="single" w:color="000000" w:sz="4" w:space="0"/>
              <w:right w:val="single" w:color="000000" w:sz="4" w:space="0"/>
            </w:tcBorders>
            <w:shd w:val="clear" w:color="auto" w:fill="auto"/>
            <w:vAlign w:val="center"/>
          </w:tcPr>
          <w:p>
            <w:pPr>
              <w:pStyle w:val="17"/>
              <w:keepNext w:val="0"/>
              <w:keepLines w:val="0"/>
              <w:pageBreakBefore w:val="0"/>
              <w:widowControl w:val="0"/>
              <w:kinsoku/>
              <w:wordWrap/>
              <w:overflowPunct/>
              <w:topLinePunct w:val="0"/>
              <w:autoSpaceDE/>
              <w:autoSpaceDN/>
              <w:bidi w:val="0"/>
              <w:adjustRightInd/>
              <w:snapToGrid/>
              <w:ind w:left="0"/>
              <w:jc w:val="center"/>
              <w:textAlignment w:val="auto"/>
              <w:rPr>
                <w:rStyle w:val="44"/>
                <w:rFonts w:hint="eastAsia" w:ascii="仿宋_GB2312" w:hAnsi="仿宋_GB2312" w:eastAsia="仿宋_GB2312" w:cs="仿宋_GB2312"/>
                <w:color w:val="auto"/>
                <w:spacing w:val="0"/>
                <w:sz w:val="22"/>
                <w:szCs w:val="22"/>
                <w:highlight w:val="none"/>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1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12</w:t>
            </w:r>
          </w:p>
        </w:tc>
        <w:tc>
          <w:tcPr>
            <w:tcW w:w="1122"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IV</w:t>
            </w:r>
          </w:p>
        </w:tc>
        <w:tc>
          <w:tcPr>
            <w:tcW w:w="4507"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环境保护工程静态投资</w:t>
            </w:r>
          </w:p>
        </w:tc>
        <w:tc>
          <w:tcPr>
            <w:tcW w:w="1281" w:type="dxa"/>
            <w:tcBorders>
              <w:top w:val="nil"/>
              <w:left w:val="single" w:color="000000" w:sz="4" w:space="0"/>
              <w:bottom w:val="single" w:color="000000" w:sz="4" w:space="0"/>
              <w:right w:val="single" w:color="000000" w:sz="4" w:space="0"/>
            </w:tcBorders>
            <w:shd w:val="clear" w:color="auto" w:fill="auto"/>
            <w:vAlign w:val="center"/>
          </w:tcPr>
          <w:p>
            <w:pPr>
              <w:pStyle w:val="17"/>
              <w:keepNext w:val="0"/>
              <w:keepLines w:val="0"/>
              <w:pageBreakBefore w:val="0"/>
              <w:widowControl w:val="0"/>
              <w:kinsoku/>
              <w:wordWrap/>
              <w:overflowPunct/>
              <w:topLinePunct w:val="0"/>
              <w:autoSpaceDE/>
              <w:autoSpaceDN/>
              <w:bidi w:val="0"/>
              <w:adjustRightInd/>
              <w:snapToGrid/>
              <w:ind w:left="0"/>
              <w:jc w:val="center"/>
              <w:textAlignment w:val="auto"/>
              <w:rPr>
                <w:rStyle w:val="44"/>
                <w:rFonts w:hint="eastAsia" w:ascii="仿宋_GB2312" w:hAnsi="仿宋_GB2312" w:eastAsia="仿宋_GB2312" w:cs="仿宋_GB2312"/>
                <w:color w:val="auto"/>
                <w:spacing w:val="0"/>
                <w:sz w:val="22"/>
                <w:szCs w:val="22"/>
                <w:highlight w:val="none"/>
                <w:vertAlign w:val="baseline"/>
                <w:lang w:val="en-US" w:eastAsia="zh-CN"/>
              </w:rPr>
            </w:pPr>
            <w:r>
              <w:rPr>
                <w:rStyle w:val="44"/>
                <w:rFonts w:hint="eastAsia" w:ascii="仿宋_GB2312" w:hAnsi="仿宋_GB2312" w:eastAsia="仿宋_GB2312" w:cs="仿宋_GB2312"/>
                <w:color w:val="auto"/>
                <w:spacing w:val="0"/>
                <w:sz w:val="22"/>
                <w:szCs w:val="22"/>
                <w:highlight w:val="none"/>
                <w:vertAlign w:val="baseline"/>
                <w:lang w:val="en-US" w:eastAsia="zh-CN"/>
              </w:rPr>
              <w:t>17.04</w:t>
            </w:r>
          </w:p>
        </w:tc>
        <w:tc>
          <w:tcPr>
            <w:tcW w:w="1864" w:type="dxa"/>
            <w:tcBorders>
              <w:top w:val="nil"/>
              <w:left w:val="single" w:color="000000" w:sz="4" w:space="0"/>
              <w:bottom w:val="single" w:color="000000" w:sz="4" w:space="0"/>
              <w:right w:val="single" w:color="000000" w:sz="4" w:space="0"/>
            </w:tcBorders>
            <w:shd w:val="clear" w:color="auto" w:fill="auto"/>
            <w:vAlign w:val="center"/>
          </w:tcPr>
          <w:p>
            <w:pPr>
              <w:pStyle w:val="17"/>
              <w:keepNext w:val="0"/>
              <w:keepLines w:val="0"/>
              <w:pageBreakBefore w:val="0"/>
              <w:widowControl w:val="0"/>
              <w:kinsoku/>
              <w:wordWrap/>
              <w:overflowPunct/>
              <w:topLinePunct w:val="0"/>
              <w:autoSpaceDE/>
              <w:autoSpaceDN/>
              <w:bidi w:val="0"/>
              <w:adjustRightInd/>
              <w:snapToGrid/>
              <w:ind w:left="0"/>
              <w:jc w:val="center"/>
              <w:textAlignment w:val="auto"/>
              <w:rPr>
                <w:rStyle w:val="44"/>
                <w:rFonts w:hint="eastAsia" w:ascii="仿宋_GB2312" w:hAnsi="仿宋_GB2312" w:eastAsia="仿宋_GB2312" w:cs="仿宋_GB2312"/>
                <w:color w:val="auto"/>
                <w:spacing w:val="0"/>
                <w:sz w:val="22"/>
                <w:szCs w:val="22"/>
                <w:highlight w:val="none"/>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80" w:hRule="atLeast"/>
        </w:trPr>
        <w:tc>
          <w:tcPr>
            <w:tcW w:w="91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13</w:t>
            </w:r>
          </w:p>
        </w:tc>
        <w:tc>
          <w:tcPr>
            <w:tcW w:w="1122"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V</w:t>
            </w:r>
          </w:p>
        </w:tc>
        <w:tc>
          <w:tcPr>
            <w:tcW w:w="4507"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专项工程静态投资</w:t>
            </w:r>
          </w:p>
        </w:tc>
        <w:tc>
          <w:tcPr>
            <w:tcW w:w="1281" w:type="dxa"/>
            <w:tcBorders>
              <w:top w:val="nil"/>
              <w:left w:val="single" w:color="000000" w:sz="4" w:space="0"/>
              <w:bottom w:val="single" w:color="000000" w:sz="4" w:space="0"/>
              <w:right w:val="single" w:color="000000" w:sz="4" w:space="0"/>
            </w:tcBorders>
            <w:shd w:val="clear" w:color="auto" w:fill="auto"/>
            <w:vAlign w:val="center"/>
          </w:tcPr>
          <w:p>
            <w:pPr>
              <w:pStyle w:val="17"/>
              <w:keepNext w:val="0"/>
              <w:keepLines w:val="0"/>
              <w:pageBreakBefore w:val="0"/>
              <w:widowControl w:val="0"/>
              <w:kinsoku/>
              <w:wordWrap/>
              <w:overflowPunct/>
              <w:topLinePunct w:val="0"/>
              <w:autoSpaceDE/>
              <w:autoSpaceDN/>
              <w:bidi w:val="0"/>
              <w:adjustRightInd/>
              <w:snapToGrid/>
              <w:ind w:left="0"/>
              <w:jc w:val="center"/>
              <w:textAlignment w:val="auto"/>
              <w:rPr>
                <w:rStyle w:val="44"/>
                <w:rFonts w:hint="eastAsia" w:ascii="仿宋_GB2312" w:hAnsi="仿宋_GB2312" w:eastAsia="仿宋_GB2312" w:cs="仿宋_GB2312"/>
                <w:color w:val="auto"/>
                <w:spacing w:val="0"/>
                <w:sz w:val="22"/>
                <w:szCs w:val="22"/>
                <w:highlight w:val="none"/>
                <w:vertAlign w:val="baseline"/>
                <w:lang w:val="en-US" w:eastAsia="zh-CN"/>
              </w:rPr>
            </w:pPr>
            <w:r>
              <w:rPr>
                <w:rStyle w:val="44"/>
                <w:rFonts w:hint="eastAsia" w:ascii="仿宋_GB2312" w:hAnsi="仿宋_GB2312" w:eastAsia="仿宋_GB2312" w:cs="仿宋_GB2312"/>
                <w:color w:val="auto"/>
                <w:spacing w:val="0"/>
                <w:sz w:val="22"/>
                <w:szCs w:val="22"/>
                <w:highlight w:val="none"/>
                <w:vertAlign w:val="baseline"/>
                <w:lang w:val="en-US" w:eastAsia="zh-CN"/>
              </w:rPr>
              <w:t xml:space="preserve"> </w:t>
            </w:r>
          </w:p>
        </w:tc>
        <w:tc>
          <w:tcPr>
            <w:tcW w:w="1864" w:type="dxa"/>
            <w:tcBorders>
              <w:top w:val="nil"/>
              <w:left w:val="single" w:color="000000" w:sz="4" w:space="0"/>
              <w:bottom w:val="single" w:color="000000" w:sz="4" w:space="0"/>
              <w:right w:val="single" w:color="000000" w:sz="4" w:space="0"/>
            </w:tcBorders>
            <w:shd w:val="clear" w:color="auto" w:fill="auto"/>
            <w:vAlign w:val="center"/>
          </w:tcPr>
          <w:p>
            <w:pPr>
              <w:pStyle w:val="17"/>
              <w:keepNext w:val="0"/>
              <w:keepLines w:val="0"/>
              <w:pageBreakBefore w:val="0"/>
              <w:widowControl w:val="0"/>
              <w:kinsoku/>
              <w:wordWrap/>
              <w:overflowPunct/>
              <w:topLinePunct w:val="0"/>
              <w:autoSpaceDE/>
              <w:autoSpaceDN/>
              <w:bidi w:val="0"/>
              <w:adjustRightInd/>
              <w:snapToGrid/>
              <w:ind w:left="0"/>
              <w:jc w:val="center"/>
              <w:textAlignment w:val="auto"/>
              <w:rPr>
                <w:rStyle w:val="44"/>
                <w:rFonts w:hint="eastAsia" w:ascii="仿宋_GB2312" w:hAnsi="仿宋_GB2312" w:eastAsia="仿宋_GB2312" w:cs="仿宋_GB2312"/>
                <w:color w:val="auto"/>
                <w:spacing w:val="0"/>
                <w:sz w:val="22"/>
                <w:szCs w:val="22"/>
                <w:highlight w:val="none"/>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80" w:hRule="atLeast"/>
        </w:trPr>
        <w:tc>
          <w:tcPr>
            <w:tcW w:w="91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14</w:t>
            </w:r>
          </w:p>
        </w:tc>
        <w:tc>
          <w:tcPr>
            <w:tcW w:w="1122"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VI</w:t>
            </w:r>
          </w:p>
        </w:tc>
        <w:tc>
          <w:tcPr>
            <w:tcW w:w="4507"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静态总投资(I+II+III+IV+V合计)</w:t>
            </w:r>
          </w:p>
        </w:tc>
        <w:tc>
          <w:tcPr>
            <w:tcW w:w="1281" w:type="dxa"/>
            <w:tcBorders>
              <w:top w:val="nil"/>
              <w:left w:val="single" w:color="000000" w:sz="4" w:space="0"/>
              <w:bottom w:val="single" w:color="000000" w:sz="4" w:space="0"/>
              <w:right w:val="single" w:color="000000" w:sz="4" w:space="0"/>
            </w:tcBorders>
            <w:shd w:val="clear" w:color="auto" w:fill="auto"/>
            <w:vAlign w:val="center"/>
          </w:tcPr>
          <w:p>
            <w:pPr>
              <w:pStyle w:val="17"/>
              <w:keepNext w:val="0"/>
              <w:keepLines w:val="0"/>
              <w:pageBreakBefore w:val="0"/>
              <w:widowControl w:val="0"/>
              <w:kinsoku/>
              <w:wordWrap/>
              <w:overflowPunct/>
              <w:topLinePunct w:val="0"/>
              <w:autoSpaceDE/>
              <w:autoSpaceDN/>
              <w:bidi w:val="0"/>
              <w:adjustRightInd/>
              <w:snapToGrid/>
              <w:ind w:left="0"/>
              <w:jc w:val="center"/>
              <w:textAlignment w:val="auto"/>
              <w:rPr>
                <w:rStyle w:val="44"/>
                <w:rFonts w:hint="eastAsia" w:ascii="仿宋_GB2312" w:hAnsi="仿宋_GB2312" w:eastAsia="仿宋_GB2312" w:cs="仿宋_GB2312"/>
                <w:color w:val="auto"/>
                <w:spacing w:val="0"/>
                <w:sz w:val="22"/>
                <w:szCs w:val="22"/>
                <w:highlight w:val="none"/>
                <w:vertAlign w:val="baseline"/>
                <w:lang w:val="en-US" w:eastAsia="zh-CN"/>
              </w:rPr>
            </w:pPr>
            <w:r>
              <w:rPr>
                <w:rStyle w:val="44"/>
                <w:rFonts w:hint="eastAsia" w:ascii="仿宋_GB2312" w:hAnsi="仿宋_GB2312" w:eastAsia="仿宋_GB2312" w:cs="仿宋_GB2312"/>
                <w:color w:val="auto"/>
                <w:spacing w:val="0"/>
                <w:sz w:val="22"/>
                <w:szCs w:val="22"/>
                <w:highlight w:val="none"/>
                <w:vertAlign w:val="baseline"/>
                <w:lang w:val="en-US" w:eastAsia="zh-CN"/>
              </w:rPr>
              <w:t>1579.39</w:t>
            </w:r>
          </w:p>
        </w:tc>
        <w:tc>
          <w:tcPr>
            <w:tcW w:w="1864" w:type="dxa"/>
            <w:tcBorders>
              <w:top w:val="nil"/>
              <w:left w:val="single" w:color="000000" w:sz="4" w:space="0"/>
              <w:bottom w:val="single" w:color="000000" w:sz="4" w:space="0"/>
              <w:right w:val="single" w:color="000000" w:sz="4" w:space="0"/>
            </w:tcBorders>
            <w:shd w:val="clear" w:color="auto" w:fill="auto"/>
            <w:vAlign w:val="center"/>
          </w:tcPr>
          <w:p>
            <w:pPr>
              <w:pStyle w:val="17"/>
              <w:keepNext w:val="0"/>
              <w:keepLines w:val="0"/>
              <w:pageBreakBefore w:val="0"/>
              <w:widowControl w:val="0"/>
              <w:kinsoku/>
              <w:wordWrap/>
              <w:overflowPunct/>
              <w:topLinePunct w:val="0"/>
              <w:autoSpaceDE/>
              <w:autoSpaceDN/>
              <w:bidi w:val="0"/>
              <w:adjustRightInd/>
              <w:snapToGrid/>
              <w:ind w:left="0"/>
              <w:jc w:val="center"/>
              <w:textAlignment w:val="auto"/>
              <w:rPr>
                <w:rStyle w:val="44"/>
                <w:rFonts w:hint="eastAsia" w:ascii="仿宋_GB2312" w:hAnsi="仿宋_GB2312" w:eastAsia="仿宋_GB2312" w:cs="仿宋_GB2312"/>
                <w:color w:val="auto"/>
                <w:spacing w:val="0"/>
                <w:sz w:val="22"/>
                <w:szCs w:val="22"/>
                <w:highlight w:val="none"/>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1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15</w:t>
            </w:r>
          </w:p>
        </w:tc>
        <w:tc>
          <w:tcPr>
            <w:tcW w:w="1122"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color w:val="auto"/>
                <w:sz w:val="24"/>
                <w:szCs w:val="24"/>
                <w:highlight w:val="none"/>
                <w:u w:val="none"/>
              </w:rPr>
            </w:pPr>
          </w:p>
        </w:tc>
        <w:tc>
          <w:tcPr>
            <w:tcW w:w="4507"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价差预备费合计</w:t>
            </w:r>
          </w:p>
        </w:tc>
        <w:tc>
          <w:tcPr>
            <w:tcW w:w="1281" w:type="dxa"/>
            <w:tcBorders>
              <w:top w:val="nil"/>
              <w:left w:val="single" w:color="000000" w:sz="4" w:space="0"/>
              <w:bottom w:val="single" w:color="000000" w:sz="4" w:space="0"/>
              <w:right w:val="single" w:color="000000" w:sz="4" w:space="0"/>
            </w:tcBorders>
            <w:shd w:val="clear" w:color="auto" w:fill="auto"/>
            <w:vAlign w:val="center"/>
          </w:tcPr>
          <w:p>
            <w:pPr>
              <w:pStyle w:val="17"/>
              <w:keepNext w:val="0"/>
              <w:keepLines w:val="0"/>
              <w:pageBreakBefore w:val="0"/>
              <w:widowControl w:val="0"/>
              <w:kinsoku/>
              <w:wordWrap/>
              <w:overflowPunct/>
              <w:topLinePunct w:val="0"/>
              <w:autoSpaceDE/>
              <w:autoSpaceDN/>
              <w:bidi w:val="0"/>
              <w:adjustRightInd/>
              <w:snapToGrid/>
              <w:ind w:left="0"/>
              <w:jc w:val="center"/>
              <w:textAlignment w:val="auto"/>
              <w:rPr>
                <w:rStyle w:val="44"/>
                <w:rFonts w:hint="eastAsia" w:ascii="仿宋_GB2312" w:hAnsi="仿宋_GB2312" w:eastAsia="仿宋_GB2312" w:cs="仿宋_GB2312"/>
                <w:color w:val="auto"/>
                <w:spacing w:val="0"/>
                <w:sz w:val="22"/>
                <w:szCs w:val="22"/>
                <w:highlight w:val="none"/>
                <w:vertAlign w:val="baseline"/>
                <w:lang w:val="en-US" w:eastAsia="zh-CN"/>
              </w:rPr>
            </w:pPr>
            <w:r>
              <w:rPr>
                <w:rStyle w:val="44"/>
                <w:rFonts w:hint="eastAsia" w:ascii="仿宋_GB2312" w:hAnsi="仿宋_GB2312" w:eastAsia="仿宋_GB2312" w:cs="仿宋_GB2312"/>
                <w:color w:val="auto"/>
                <w:spacing w:val="0"/>
                <w:sz w:val="22"/>
                <w:szCs w:val="22"/>
                <w:highlight w:val="none"/>
                <w:vertAlign w:val="baseline"/>
                <w:lang w:val="en-US" w:eastAsia="zh-CN"/>
              </w:rPr>
              <w:t xml:space="preserve"> </w:t>
            </w:r>
          </w:p>
        </w:tc>
        <w:tc>
          <w:tcPr>
            <w:tcW w:w="1864" w:type="dxa"/>
            <w:tcBorders>
              <w:top w:val="nil"/>
              <w:left w:val="single" w:color="000000" w:sz="4" w:space="0"/>
              <w:bottom w:val="single" w:color="000000" w:sz="4" w:space="0"/>
              <w:right w:val="single" w:color="000000" w:sz="4" w:space="0"/>
            </w:tcBorders>
            <w:shd w:val="clear" w:color="auto" w:fill="auto"/>
            <w:vAlign w:val="center"/>
          </w:tcPr>
          <w:p>
            <w:pPr>
              <w:pStyle w:val="17"/>
              <w:keepNext w:val="0"/>
              <w:keepLines w:val="0"/>
              <w:pageBreakBefore w:val="0"/>
              <w:widowControl w:val="0"/>
              <w:kinsoku/>
              <w:wordWrap/>
              <w:overflowPunct/>
              <w:topLinePunct w:val="0"/>
              <w:autoSpaceDE/>
              <w:autoSpaceDN/>
              <w:bidi w:val="0"/>
              <w:adjustRightInd/>
              <w:snapToGrid/>
              <w:ind w:left="0"/>
              <w:jc w:val="center"/>
              <w:textAlignment w:val="auto"/>
              <w:rPr>
                <w:rStyle w:val="44"/>
                <w:rFonts w:hint="eastAsia" w:ascii="仿宋_GB2312" w:hAnsi="仿宋_GB2312" w:eastAsia="仿宋_GB2312" w:cs="仿宋_GB2312"/>
                <w:color w:val="auto"/>
                <w:spacing w:val="0"/>
                <w:sz w:val="22"/>
                <w:szCs w:val="22"/>
                <w:highlight w:val="none"/>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1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16</w:t>
            </w:r>
          </w:p>
        </w:tc>
        <w:tc>
          <w:tcPr>
            <w:tcW w:w="1122"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color w:val="auto"/>
                <w:sz w:val="24"/>
                <w:szCs w:val="24"/>
                <w:highlight w:val="none"/>
                <w:u w:val="none"/>
              </w:rPr>
            </w:pPr>
          </w:p>
        </w:tc>
        <w:tc>
          <w:tcPr>
            <w:tcW w:w="4507"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建设期融资利息</w:t>
            </w:r>
          </w:p>
        </w:tc>
        <w:tc>
          <w:tcPr>
            <w:tcW w:w="1281" w:type="dxa"/>
            <w:tcBorders>
              <w:top w:val="nil"/>
              <w:left w:val="single" w:color="000000" w:sz="4" w:space="0"/>
              <w:bottom w:val="single" w:color="000000" w:sz="4" w:space="0"/>
              <w:right w:val="single" w:color="000000" w:sz="4" w:space="0"/>
            </w:tcBorders>
            <w:shd w:val="clear" w:color="auto" w:fill="auto"/>
            <w:vAlign w:val="center"/>
          </w:tcPr>
          <w:p>
            <w:pPr>
              <w:pStyle w:val="17"/>
              <w:keepNext w:val="0"/>
              <w:keepLines w:val="0"/>
              <w:pageBreakBefore w:val="0"/>
              <w:widowControl w:val="0"/>
              <w:kinsoku/>
              <w:wordWrap/>
              <w:overflowPunct/>
              <w:topLinePunct w:val="0"/>
              <w:autoSpaceDE/>
              <w:autoSpaceDN/>
              <w:bidi w:val="0"/>
              <w:adjustRightInd/>
              <w:snapToGrid/>
              <w:ind w:left="0"/>
              <w:jc w:val="center"/>
              <w:textAlignment w:val="auto"/>
              <w:rPr>
                <w:rStyle w:val="44"/>
                <w:rFonts w:hint="eastAsia" w:ascii="仿宋_GB2312" w:hAnsi="仿宋_GB2312" w:eastAsia="仿宋_GB2312" w:cs="仿宋_GB2312"/>
                <w:color w:val="auto"/>
                <w:spacing w:val="0"/>
                <w:sz w:val="22"/>
                <w:szCs w:val="22"/>
                <w:highlight w:val="none"/>
                <w:vertAlign w:val="baseline"/>
                <w:lang w:val="en-US" w:eastAsia="zh-CN"/>
              </w:rPr>
            </w:pPr>
            <w:r>
              <w:rPr>
                <w:rStyle w:val="44"/>
                <w:rFonts w:hint="eastAsia" w:ascii="仿宋_GB2312" w:hAnsi="仿宋_GB2312" w:eastAsia="仿宋_GB2312" w:cs="仿宋_GB2312"/>
                <w:color w:val="auto"/>
                <w:spacing w:val="0"/>
                <w:sz w:val="22"/>
                <w:szCs w:val="22"/>
                <w:highlight w:val="none"/>
                <w:vertAlign w:val="baseline"/>
                <w:lang w:val="en-US" w:eastAsia="zh-CN"/>
              </w:rPr>
              <w:t xml:space="preserve"> </w:t>
            </w:r>
          </w:p>
        </w:tc>
        <w:tc>
          <w:tcPr>
            <w:tcW w:w="1864" w:type="dxa"/>
            <w:tcBorders>
              <w:top w:val="nil"/>
              <w:left w:val="single" w:color="000000" w:sz="4" w:space="0"/>
              <w:bottom w:val="single" w:color="000000" w:sz="4" w:space="0"/>
              <w:right w:val="single" w:color="000000" w:sz="4" w:space="0"/>
            </w:tcBorders>
            <w:shd w:val="clear" w:color="auto" w:fill="auto"/>
            <w:vAlign w:val="center"/>
          </w:tcPr>
          <w:p>
            <w:pPr>
              <w:pStyle w:val="17"/>
              <w:keepNext w:val="0"/>
              <w:keepLines w:val="0"/>
              <w:pageBreakBefore w:val="0"/>
              <w:widowControl w:val="0"/>
              <w:kinsoku/>
              <w:wordWrap/>
              <w:overflowPunct/>
              <w:topLinePunct w:val="0"/>
              <w:autoSpaceDE/>
              <w:autoSpaceDN/>
              <w:bidi w:val="0"/>
              <w:adjustRightInd/>
              <w:snapToGrid/>
              <w:ind w:left="0"/>
              <w:jc w:val="center"/>
              <w:textAlignment w:val="auto"/>
              <w:rPr>
                <w:rStyle w:val="44"/>
                <w:rFonts w:hint="eastAsia" w:ascii="仿宋_GB2312" w:hAnsi="仿宋_GB2312" w:eastAsia="仿宋_GB2312" w:cs="仿宋_GB2312"/>
                <w:color w:val="auto"/>
                <w:spacing w:val="0"/>
                <w:sz w:val="22"/>
                <w:szCs w:val="22"/>
                <w:highlight w:val="none"/>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80" w:hRule="atLeast"/>
        </w:trPr>
        <w:tc>
          <w:tcPr>
            <w:tcW w:w="91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17</w:t>
            </w:r>
          </w:p>
        </w:tc>
        <w:tc>
          <w:tcPr>
            <w:tcW w:w="1122"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VII</w:t>
            </w:r>
          </w:p>
        </w:tc>
        <w:tc>
          <w:tcPr>
            <w:tcW w:w="4507"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总投资</w:t>
            </w:r>
          </w:p>
        </w:tc>
        <w:tc>
          <w:tcPr>
            <w:tcW w:w="1281" w:type="dxa"/>
            <w:tcBorders>
              <w:top w:val="nil"/>
              <w:left w:val="single" w:color="000000" w:sz="4" w:space="0"/>
              <w:bottom w:val="single" w:color="000000" w:sz="4" w:space="0"/>
              <w:right w:val="single" w:color="000000" w:sz="4" w:space="0"/>
            </w:tcBorders>
            <w:shd w:val="clear" w:color="auto" w:fill="auto"/>
            <w:vAlign w:val="center"/>
          </w:tcPr>
          <w:p>
            <w:pPr>
              <w:pStyle w:val="17"/>
              <w:keepNext w:val="0"/>
              <w:keepLines w:val="0"/>
              <w:pageBreakBefore w:val="0"/>
              <w:widowControl w:val="0"/>
              <w:kinsoku/>
              <w:wordWrap/>
              <w:overflowPunct/>
              <w:topLinePunct w:val="0"/>
              <w:autoSpaceDE/>
              <w:autoSpaceDN/>
              <w:bidi w:val="0"/>
              <w:adjustRightInd/>
              <w:snapToGrid/>
              <w:ind w:left="0"/>
              <w:jc w:val="center"/>
              <w:textAlignment w:val="auto"/>
              <w:rPr>
                <w:rStyle w:val="44"/>
                <w:rFonts w:hint="eastAsia" w:ascii="仿宋_GB2312" w:hAnsi="仿宋_GB2312" w:eastAsia="仿宋_GB2312" w:cs="仿宋_GB2312"/>
                <w:color w:val="auto"/>
                <w:spacing w:val="0"/>
                <w:sz w:val="22"/>
                <w:szCs w:val="22"/>
                <w:highlight w:val="none"/>
                <w:vertAlign w:val="baseline"/>
                <w:lang w:val="en-US" w:eastAsia="zh-CN"/>
              </w:rPr>
            </w:pPr>
            <w:r>
              <w:rPr>
                <w:rStyle w:val="44"/>
                <w:rFonts w:hint="eastAsia" w:ascii="仿宋_GB2312" w:hAnsi="仿宋_GB2312" w:eastAsia="仿宋_GB2312" w:cs="仿宋_GB2312"/>
                <w:color w:val="auto"/>
                <w:spacing w:val="0"/>
                <w:sz w:val="22"/>
                <w:szCs w:val="22"/>
                <w:highlight w:val="none"/>
                <w:vertAlign w:val="baseline"/>
                <w:lang w:val="en-US" w:eastAsia="zh-CN"/>
              </w:rPr>
              <w:t>1579.39</w:t>
            </w:r>
          </w:p>
        </w:tc>
        <w:tc>
          <w:tcPr>
            <w:tcW w:w="1864" w:type="dxa"/>
            <w:tcBorders>
              <w:top w:val="nil"/>
              <w:left w:val="single" w:color="000000" w:sz="4" w:space="0"/>
              <w:bottom w:val="single" w:color="000000" w:sz="4" w:space="0"/>
              <w:right w:val="single" w:color="000000" w:sz="4" w:space="0"/>
            </w:tcBorders>
            <w:shd w:val="clear" w:color="auto" w:fill="auto"/>
            <w:vAlign w:val="center"/>
          </w:tcPr>
          <w:p>
            <w:pPr>
              <w:pStyle w:val="17"/>
              <w:keepNext w:val="0"/>
              <w:keepLines w:val="0"/>
              <w:pageBreakBefore w:val="0"/>
              <w:widowControl w:val="0"/>
              <w:kinsoku/>
              <w:wordWrap/>
              <w:overflowPunct/>
              <w:topLinePunct w:val="0"/>
              <w:autoSpaceDE/>
              <w:autoSpaceDN/>
              <w:bidi w:val="0"/>
              <w:adjustRightInd/>
              <w:snapToGrid/>
              <w:ind w:left="0"/>
              <w:jc w:val="center"/>
              <w:textAlignment w:val="auto"/>
              <w:rPr>
                <w:rStyle w:val="44"/>
                <w:rFonts w:hint="eastAsia" w:ascii="仿宋_GB2312" w:hAnsi="仿宋_GB2312" w:eastAsia="仿宋_GB2312" w:cs="仿宋_GB2312"/>
                <w:color w:val="auto"/>
                <w:spacing w:val="0"/>
                <w:sz w:val="22"/>
                <w:szCs w:val="22"/>
                <w:highlight w:val="none"/>
                <w:vertAlign w:val="baseline"/>
                <w:lang w:val="en-US" w:eastAsia="zh-CN"/>
              </w:rPr>
            </w:pPr>
          </w:p>
        </w:tc>
      </w:tr>
    </w:tbl>
    <w:p>
      <w:pPr>
        <w:rPr>
          <w:rFonts w:hint="default"/>
          <w:color w:val="auto"/>
          <w:highlight w:val="none"/>
          <w:lang w:val="en-US" w:eastAsia="zh-CN"/>
        </w:rPr>
      </w:pPr>
      <w:r>
        <w:rPr>
          <w:rFonts w:hint="default"/>
          <w:color w:val="auto"/>
          <w:highlight w:val="none"/>
          <w:lang w:val="en-US" w:eastAsia="zh-CN"/>
        </w:rPr>
        <w:br w:type="page"/>
      </w:r>
    </w:p>
    <w:p>
      <w:pPr>
        <w:pStyle w:val="17"/>
        <w:rPr>
          <w:rFonts w:hint="default" w:ascii="Times New Roman" w:hAnsi="Times New Roman" w:eastAsia="宋体" w:cs="Times New Roman"/>
          <w:color w:val="auto"/>
          <w:sz w:val="28"/>
          <w:szCs w:val="24"/>
          <w:highlight w:val="none"/>
          <w:lang w:val="en-US" w:eastAsia="zh-CN"/>
        </w:rPr>
      </w:pPr>
      <w:r>
        <w:rPr>
          <w:rFonts w:hint="default" w:ascii="Times New Roman" w:hAnsi="Times New Roman" w:eastAsia="宋体" w:cs="Times New Roman"/>
          <w:color w:val="auto"/>
          <w:sz w:val="28"/>
          <w:szCs w:val="24"/>
          <w:highlight w:val="none"/>
          <w:lang w:val="en-US" w:eastAsia="zh-CN"/>
        </w:rPr>
        <w:t>附表2</w:t>
      </w:r>
    </w:p>
    <w:p>
      <w:pPr>
        <w:pStyle w:val="17"/>
        <w:jc w:val="center"/>
        <w:rPr>
          <w:rFonts w:hint="default" w:ascii="Times New Roman" w:hAnsi="Times New Roman" w:eastAsia="宋体" w:cs="Times New Roman"/>
          <w:color w:val="auto"/>
          <w:sz w:val="28"/>
          <w:szCs w:val="24"/>
          <w:highlight w:val="none"/>
          <w:lang w:val="en-US" w:eastAsia="zh-CN"/>
        </w:rPr>
      </w:pPr>
      <w:r>
        <w:rPr>
          <w:rFonts w:hint="default" w:ascii="Times New Roman" w:hAnsi="Times New Roman" w:eastAsia="宋体" w:cs="Times New Roman"/>
          <w:color w:val="auto"/>
          <w:sz w:val="28"/>
          <w:szCs w:val="28"/>
          <w:highlight w:val="none"/>
          <w:lang w:val="en-US" w:eastAsia="zh-CN"/>
        </w:rPr>
        <w:t>洋坑水库除险加固</w:t>
      </w:r>
      <w:r>
        <w:rPr>
          <w:rFonts w:hint="default" w:ascii="Times New Roman" w:hAnsi="Times New Roman" w:eastAsia="宋体" w:cs="Times New Roman"/>
          <w:color w:val="auto"/>
          <w:sz w:val="28"/>
          <w:szCs w:val="24"/>
          <w:highlight w:val="none"/>
          <w:lang w:val="en-US" w:eastAsia="zh-CN"/>
        </w:rPr>
        <w:t>工程特性表</w:t>
      </w:r>
    </w:p>
    <w:tbl>
      <w:tblPr>
        <w:tblStyle w:val="2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12"/>
        <w:gridCol w:w="1101"/>
        <w:gridCol w:w="2670"/>
        <w:gridCol w:w="2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877" w:type="pct"/>
          </w:tcPr>
          <w:p>
            <w:pPr>
              <w:pStyle w:val="17"/>
              <w:jc w:val="center"/>
              <w:rPr>
                <w:rStyle w:val="44"/>
                <w:rFonts w:hint="default" w:ascii="Times New Roman" w:hAnsi="Times New Roman" w:eastAsia="黑体" w:cs="Times New Roman"/>
                <w:b w:val="0"/>
                <w:bCs w:val="0"/>
                <w:color w:val="auto"/>
                <w:spacing w:val="0"/>
                <w:sz w:val="24"/>
                <w:szCs w:val="24"/>
                <w:highlight w:val="none"/>
                <w:vertAlign w:val="baseline"/>
                <w:lang w:val="en-US" w:eastAsia="zh-CN"/>
              </w:rPr>
            </w:pPr>
            <w:r>
              <w:rPr>
                <w:rStyle w:val="44"/>
                <w:rFonts w:hint="default" w:ascii="Times New Roman" w:hAnsi="Times New Roman" w:eastAsia="黑体" w:cs="Times New Roman"/>
                <w:b w:val="0"/>
                <w:bCs w:val="0"/>
                <w:color w:val="auto"/>
                <w:spacing w:val="0"/>
                <w:sz w:val="24"/>
                <w:szCs w:val="24"/>
                <w:highlight w:val="none"/>
                <w:vertAlign w:val="baseline"/>
                <w:lang w:val="en-US" w:eastAsia="zh-CN"/>
              </w:rPr>
              <w:t>序号</w:t>
            </w:r>
          </w:p>
        </w:tc>
        <w:tc>
          <w:tcPr>
            <w:tcW w:w="528" w:type="pct"/>
          </w:tcPr>
          <w:p>
            <w:pPr>
              <w:pStyle w:val="17"/>
              <w:jc w:val="center"/>
              <w:rPr>
                <w:rStyle w:val="44"/>
                <w:rFonts w:hint="default" w:ascii="Times New Roman" w:hAnsi="Times New Roman" w:eastAsia="黑体" w:cs="Times New Roman"/>
                <w:b w:val="0"/>
                <w:bCs w:val="0"/>
                <w:color w:val="auto"/>
                <w:spacing w:val="0"/>
                <w:sz w:val="24"/>
                <w:szCs w:val="24"/>
                <w:highlight w:val="none"/>
                <w:vertAlign w:val="baseline"/>
                <w:lang w:val="en-US" w:eastAsia="zh-CN"/>
              </w:rPr>
            </w:pPr>
            <w:r>
              <w:rPr>
                <w:rStyle w:val="44"/>
                <w:rFonts w:hint="default" w:ascii="Times New Roman" w:hAnsi="Times New Roman" w:eastAsia="黑体" w:cs="Times New Roman"/>
                <w:b w:val="0"/>
                <w:bCs w:val="0"/>
                <w:color w:val="auto"/>
                <w:spacing w:val="0"/>
                <w:sz w:val="24"/>
                <w:szCs w:val="24"/>
                <w:highlight w:val="none"/>
                <w:vertAlign w:val="baseline"/>
                <w:lang w:val="en-US" w:eastAsia="zh-CN"/>
              </w:rPr>
              <w:t>单位</w:t>
            </w:r>
          </w:p>
        </w:tc>
        <w:tc>
          <w:tcPr>
            <w:tcW w:w="1281" w:type="pct"/>
          </w:tcPr>
          <w:p>
            <w:pPr>
              <w:pStyle w:val="17"/>
              <w:jc w:val="center"/>
              <w:rPr>
                <w:rStyle w:val="44"/>
                <w:rFonts w:hint="default" w:ascii="Times New Roman" w:hAnsi="Times New Roman" w:eastAsia="黑体" w:cs="Times New Roman"/>
                <w:b w:val="0"/>
                <w:bCs w:val="0"/>
                <w:color w:val="auto"/>
                <w:spacing w:val="0"/>
                <w:sz w:val="24"/>
                <w:szCs w:val="24"/>
                <w:highlight w:val="none"/>
                <w:vertAlign w:val="baseline"/>
                <w:lang w:val="en-US" w:eastAsia="zh-CN"/>
              </w:rPr>
            </w:pPr>
            <w:r>
              <w:rPr>
                <w:rStyle w:val="44"/>
                <w:rFonts w:hint="default" w:ascii="Times New Roman" w:hAnsi="Times New Roman" w:eastAsia="黑体" w:cs="Times New Roman"/>
                <w:b w:val="0"/>
                <w:bCs w:val="0"/>
                <w:color w:val="auto"/>
                <w:spacing w:val="0"/>
                <w:sz w:val="24"/>
                <w:szCs w:val="24"/>
                <w:highlight w:val="none"/>
                <w:vertAlign w:val="baseline"/>
                <w:lang w:val="en-US" w:eastAsia="zh-CN"/>
              </w:rPr>
              <w:t>数量</w:t>
            </w:r>
          </w:p>
        </w:tc>
        <w:tc>
          <w:tcPr>
            <w:tcW w:w="1312" w:type="pct"/>
          </w:tcPr>
          <w:p>
            <w:pPr>
              <w:pStyle w:val="17"/>
              <w:jc w:val="center"/>
              <w:rPr>
                <w:rStyle w:val="44"/>
                <w:rFonts w:hint="default" w:ascii="Times New Roman" w:hAnsi="Times New Roman" w:eastAsia="黑体" w:cs="Times New Roman"/>
                <w:b w:val="0"/>
                <w:bCs w:val="0"/>
                <w:color w:val="auto"/>
                <w:spacing w:val="0"/>
                <w:sz w:val="24"/>
                <w:szCs w:val="24"/>
                <w:highlight w:val="none"/>
                <w:vertAlign w:val="baseline"/>
                <w:lang w:val="en-US" w:eastAsia="zh-CN"/>
              </w:rPr>
            </w:pPr>
            <w:r>
              <w:rPr>
                <w:rStyle w:val="44"/>
                <w:rFonts w:hint="default" w:ascii="Times New Roman" w:hAnsi="Times New Roman" w:eastAsia="黑体" w:cs="Times New Roman"/>
                <w:b w:val="0"/>
                <w:bCs w:val="0"/>
                <w:color w:val="auto"/>
                <w:spacing w:val="0"/>
                <w:sz w:val="24"/>
                <w:szCs w:val="24"/>
                <w:highlight w:val="none"/>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7" w:type="pct"/>
          </w:tcPr>
          <w:p>
            <w:pPr>
              <w:pStyle w:val="17"/>
              <w:jc w:val="left"/>
              <w:rPr>
                <w:rStyle w:val="44"/>
                <w:rFonts w:hint="default" w:ascii="Times New Roman" w:hAnsi="Times New Roman" w:eastAsia="宋体" w:cs="Times New Roman"/>
                <w:color w:val="auto"/>
                <w:spacing w:val="0"/>
                <w:sz w:val="22"/>
                <w:szCs w:val="22"/>
                <w:highlight w:val="none"/>
                <w:vertAlign w:val="baseline"/>
                <w:lang w:val="en-US" w:eastAsia="zh-CN"/>
              </w:rPr>
            </w:pPr>
            <w:r>
              <w:rPr>
                <w:rStyle w:val="44"/>
                <w:rFonts w:hint="default" w:ascii="Times New Roman" w:hAnsi="Times New Roman" w:eastAsia="宋体" w:cs="Times New Roman"/>
                <w:b/>
                <w:bCs/>
                <w:color w:val="auto"/>
                <w:spacing w:val="0"/>
                <w:sz w:val="22"/>
                <w:szCs w:val="22"/>
                <w:highlight w:val="none"/>
                <w:vertAlign w:val="baseline"/>
                <w:lang w:val="en-US" w:eastAsia="zh-CN"/>
              </w:rPr>
              <w:t>一、水文</w:t>
            </w:r>
            <w:r>
              <w:rPr>
                <w:rStyle w:val="44"/>
                <w:rFonts w:hint="eastAsia" w:eastAsia="宋体" w:cs="Times New Roman"/>
                <w:b/>
                <w:bCs/>
                <w:color w:val="auto"/>
                <w:spacing w:val="0"/>
                <w:sz w:val="22"/>
                <w:szCs w:val="22"/>
                <w:highlight w:val="none"/>
                <w:vertAlign w:val="baseline"/>
                <w:lang w:val="en-US" w:eastAsia="zh-CN"/>
              </w:rPr>
              <w:t>特性及主要参数</w:t>
            </w:r>
          </w:p>
        </w:tc>
        <w:tc>
          <w:tcPr>
            <w:tcW w:w="528" w:type="pct"/>
          </w:tcPr>
          <w:p>
            <w:pPr>
              <w:pStyle w:val="17"/>
              <w:jc w:val="center"/>
              <w:rPr>
                <w:rStyle w:val="44"/>
                <w:rFonts w:hint="default" w:ascii="Times New Roman" w:hAnsi="Times New Roman" w:eastAsia="宋体" w:cs="Times New Roman"/>
                <w:color w:val="auto"/>
                <w:spacing w:val="0"/>
                <w:sz w:val="22"/>
                <w:szCs w:val="22"/>
                <w:highlight w:val="none"/>
                <w:vertAlign w:val="baseline"/>
                <w:lang w:val="en-US" w:eastAsia="zh-CN"/>
              </w:rPr>
            </w:pPr>
          </w:p>
        </w:tc>
        <w:tc>
          <w:tcPr>
            <w:tcW w:w="1281" w:type="pct"/>
          </w:tcPr>
          <w:p>
            <w:pPr>
              <w:pStyle w:val="17"/>
              <w:keepNext w:val="0"/>
              <w:keepLines w:val="0"/>
              <w:pageBreakBefore w:val="0"/>
              <w:widowControl w:val="0"/>
              <w:kinsoku/>
              <w:wordWrap/>
              <w:overflowPunct/>
              <w:topLinePunct w:val="0"/>
              <w:autoSpaceDE/>
              <w:autoSpaceDN/>
              <w:bidi w:val="0"/>
              <w:adjustRightInd/>
              <w:snapToGrid/>
              <w:ind w:left="0"/>
              <w:jc w:val="center"/>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p>
        </w:tc>
        <w:tc>
          <w:tcPr>
            <w:tcW w:w="1312" w:type="pct"/>
          </w:tcPr>
          <w:p>
            <w:pPr>
              <w:pStyle w:val="17"/>
              <w:keepNext w:val="0"/>
              <w:keepLines w:val="0"/>
              <w:pageBreakBefore w:val="0"/>
              <w:widowControl w:val="0"/>
              <w:kinsoku/>
              <w:wordWrap/>
              <w:overflowPunct/>
              <w:topLinePunct w:val="0"/>
              <w:autoSpaceDE/>
              <w:autoSpaceDN/>
              <w:bidi w:val="0"/>
              <w:adjustRightInd/>
              <w:snapToGrid/>
              <w:ind w:left="0"/>
              <w:jc w:val="center"/>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7" w:type="pct"/>
          </w:tcPr>
          <w:p>
            <w:pPr>
              <w:pStyle w:val="17"/>
              <w:jc w:val="left"/>
              <w:rPr>
                <w:rStyle w:val="44"/>
                <w:rFonts w:hint="default" w:ascii="Times New Roman" w:hAnsi="Times New Roman" w:eastAsia="宋体" w:cs="Times New Roman"/>
                <w:color w:val="auto"/>
                <w:spacing w:val="0"/>
                <w:sz w:val="22"/>
                <w:szCs w:val="22"/>
                <w:highlight w:val="none"/>
                <w:vertAlign w:val="baseline"/>
                <w:lang w:val="en-US" w:eastAsia="zh-CN"/>
              </w:rPr>
            </w:pPr>
            <w:r>
              <w:rPr>
                <w:rStyle w:val="44"/>
                <w:rFonts w:hint="default" w:ascii="Times New Roman" w:hAnsi="Times New Roman" w:eastAsia="宋体" w:cs="Times New Roman"/>
                <w:color w:val="auto"/>
                <w:spacing w:val="0"/>
                <w:sz w:val="22"/>
                <w:szCs w:val="22"/>
                <w:highlight w:val="none"/>
                <w:vertAlign w:val="baseline"/>
                <w:lang w:val="en-US" w:eastAsia="zh-CN"/>
              </w:rPr>
              <w:t>1.所在流域</w:t>
            </w:r>
          </w:p>
        </w:tc>
        <w:tc>
          <w:tcPr>
            <w:tcW w:w="528" w:type="pct"/>
          </w:tcPr>
          <w:p>
            <w:pPr>
              <w:pStyle w:val="17"/>
              <w:jc w:val="center"/>
              <w:rPr>
                <w:rStyle w:val="44"/>
                <w:rFonts w:hint="default" w:ascii="Times New Roman" w:hAnsi="Times New Roman" w:eastAsia="宋体" w:cs="Times New Roman"/>
                <w:color w:val="auto"/>
                <w:spacing w:val="0"/>
                <w:sz w:val="22"/>
                <w:szCs w:val="22"/>
                <w:highlight w:val="none"/>
                <w:vertAlign w:val="baseline"/>
                <w:lang w:val="en-US" w:eastAsia="zh-CN"/>
              </w:rPr>
            </w:pPr>
          </w:p>
        </w:tc>
        <w:tc>
          <w:tcPr>
            <w:tcW w:w="1281" w:type="pct"/>
          </w:tcPr>
          <w:p>
            <w:pPr>
              <w:pStyle w:val="17"/>
              <w:keepNext w:val="0"/>
              <w:keepLines w:val="0"/>
              <w:pageBreakBefore w:val="0"/>
              <w:widowControl w:val="0"/>
              <w:kinsoku/>
              <w:wordWrap/>
              <w:overflowPunct/>
              <w:topLinePunct w:val="0"/>
              <w:autoSpaceDE/>
              <w:autoSpaceDN/>
              <w:bidi w:val="0"/>
              <w:adjustRightInd/>
              <w:snapToGrid/>
              <w:ind w:left="0"/>
              <w:jc w:val="center"/>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p>
        </w:tc>
        <w:tc>
          <w:tcPr>
            <w:tcW w:w="1312" w:type="pct"/>
          </w:tcPr>
          <w:p>
            <w:pPr>
              <w:pStyle w:val="17"/>
              <w:keepNext w:val="0"/>
              <w:keepLines w:val="0"/>
              <w:pageBreakBefore w:val="0"/>
              <w:widowControl w:val="0"/>
              <w:kinsoku/>
              <w:wordWrap/>
              <w:overflowPunct/>
              <w:topLinePunct w:val="0"/>
              <w:autoSpaceDE/>
              <w:autoSpaceDN/>
              <w:bidi w:val="0"/>
              <w:adjustRightInd/>
              <w:snapToGrid/>
              <w:ind w:left="0"/>
              <w:jc w:val="center"/>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r>
              <w:rPr>
                <w:rStyle w:val="44"/>
                <w:rFonts w:hint="default" w:ascii="Times New Roman" w:hAnsi="Times New Roman" w:eastAsia="宋体" w:cs="Times New Roman"/>
                <w:color w:val="auto"/>
                <w:spacing w:val="0"/>
                <w:sz w:val="22"/>
                <w:szCs w:val="22"/>
                <w:highlight w:val="none"/>
                <w:vertAlign w:val="baseline"/>
                <w:lang w:val="en-US" w:eastAsia="zh-CN"/>
              </w:rPr>
              <w:t>韩江丰良河支流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77" w:type="pct"/>
          </w:tcPr>
          <w:p>
            <w:pPr>
              <w:pStyle w:val="17"/>
              <w:jc w:val="left"/>
              <w:rPr>
                <w:rStyle w:val="44"/>
                <w:rFonts w:hint="default" w:ascii="Times New Roman" w:hAnsi="Times New Roman" w:eastAsia="宋体" w:cs="Times New Roman"/>
                <w:color w:val="auto"/>
                <w:spacing w:val="0"/>
                <w:sz w:val="22"/>
                <w:szCs w:val="22"/>
                <w:highlight w:val="none"/>
                <w:vertAlign w:val="baseline"/>
                <w:lang w:val="en-US" w:eastAsia="zh-CN"/>
              </w:rPr>
            </w:pPr>
            <w:r>
              <w:rPr>
                <w:rStyle w:val="44"/>
                <w:rFonts w:hint="default" w:ascii="Times New Roman" w:hAnsi="Times New Roman" w:eastAsia="宋体" w:cs="Times New Roman"/>
                <w:color w:val="auto"/>
                <w:spacing w:val="0"/>
                <w:sz w:val="22"/>
                <w:szCs w:val="22"/>
                <w:highlight w:val="none"/>
                <w:vertAlign w:val="baseline"/>
                <w:lang w:val="en-US" w:eastAsia="zh-CN"/>
              </w:rPr>
              <w:t>2.坝址处上游总集水面积</w:t>
            </w:r>
          </w:p>
        </w:tc>
        <w:tc>
          <w:tcPr>
            <w:tcW w:w="528" w:type="pct"/>
          </w:tcPr>
          <w:p>
            <w:pPr>
              <w:pStyle w:val="17"/>
              <w:jc w:val="center"/>
              <w:rPr>
                <w:rStyle w:val="44"/>
                <w:rFonts w:hint="default" w:ascii="Times New Roman" w:hAnsi="Times New Roman" w:eastAsia="宋体" w:cs="Times New Roman"/>
                <w:color w:val="auto"/>
                <w:spacing w:val="0"/>
                <w:sz w:val="22"/>
                <w:szCs w:val="22"/>
                <w:highlight w:val="none"/>
                <w:vertAlign w:val="baseline"/>
                <w:lang w:val="en-US" w:eastAsia="zh-CN"/>
              </w:rPr>
            </w:pPr>
            <w:r>
              <w:rPr>
                <w:rStyle w:val="44"/>
                <w:rFonts w:hint="default" w:ascii="Times New Roman" w:hAnsi="Times New Roman" w:eastAsia="宋体" w:cs="Times New Roman"/>
                <w:color w:val="auto"/>
                <w:spacing w:val="0"/>
                <w:sz w:val="22"/>
                <w:szCs w:val="22"/>
                <w:highlight w:val="none"/>
                <w:vertAlign w:val="baseline"/>
                <w:lang w:val="en-US" w:eastAsia="zh-CN"/>
              </w:rPr>
              <w:t>Km</w:t>
            </w:r>
            <w:r>
              <w:rPr>
                <w:rStyle w:val="44"/>
                <w:rFonts w:hint="default" w:ascii="Times New Roman" w:hAnsi="Times New Roman" w:eastAsia="宋体" w:cs="Times New Roman"/>
                <w:color w:val="auto"/>
                <w:spacing w:val="0"/>
                <w:sz w:val="22"/>
                <w:szCs w:val="22"/>
                <w:highlight w:val="none"/>
                <w:vertAlign w:val="superscript"/>
                <w:lang w:val="en-US" w:eastAsia="zh-CN"/>
              </w:rPr>
              <w:t>2</w:t>
            </w:r>
          </w:p>
        </w:tc>
        <w:tc>
          <w:tcPr>
            <w:tcW w:w="1281" w:type="pct"/>
          </w:tcPr>
          <w:p>
            <w:pPr>
              <w:pStyle w:val="17"/>
              <w:keepNext w:val="0"/>
              <w:keepLines w:val="0"/>
              <w:pageBreakBefore w:val="0"/>
              <w:widowControl w:val="0"/>
              <w:kinsoku/>
              <w:wordWrap/>
              <w:overflowPunct/>
              <w:topLinePunct w:val="0"/>
              <w:autoSpaceDE/>
              <w:autoSpaceDN/>
              <w:bidi w:val="0"/>
              <w:adjustRightInd/>
              <w:snapToGrid/>
              <w:ind w:left="0"/>
              <w:jc w:val="center"/>
              <w:textAlignment w:val="auto"/>
              <w:rPr>
                <w:rStyle w:val="44"/>
                <w:rFonts w:hint="eastAsia" w:ascii="仿宋_GB2312" w:hAnsi="仿宋_GB2312" w:eastAsia="仿宋_GB2312" w:cs="仿宋_GB2312"/>
                <w:color w:val="auto"/>
                <w:spacing w:val="0"/>
                <w:sz w:val="22"/>
                <w:szCs w:val="22"/>
                <w:highlight w:val="none"/>
                <w:vertAlign w:val="baseline"/>
                <w:lang w:val="en-US" w:eastAsia="zh-CN"/>
              </w:rPr>
            </w:pPr>
            <w:r>
              <w:rPr>
                <w:rStyle w:val="44"/>
                <w:rFonts w:hint="eastAsia" w:ascii="仿宋_GB2312" w:hAnsi="仿宋_GB2312" w:eastAsia="仿宋_GB2312" w:cs="仿宋_GB2312"/>
                <w:color w:val="auto"/>
                <w:spacing w:val="0"/>
                <w:sz w:val="22"/>
                <w:szCs w:val="22"/>
                <w:highlight w:val="none"/>
                <w:vertAlign w:val="baseline"/>
                <w:lang w:val="en-US" w:eastAsia="zh-CN"/>
              </w:rPr>
              <w:t>12.4</w:t>
            </w:r>
          </w:p>
        </w:tc>
        <w:tc>
          <w:tcPr>
            <w:tcW w:w="1312" w:type="pct"/>
          </w:tcPr>
          <w:p>
            <w:pPr>
              <w:pStyle w:val="17"/>
              <w:keepNext w:val="0"/>
              <w:keepLines w:val="0"/>
              <w:pageBreakBefore w:val="0"/>
              <w:widowControl w:val="0"/>
              <w:kinsoku/>
              <w:wordWrap/>
              <w:overflowPunct/>
              <w:topLinePunct w:val="0"/>
              <w:autoSpaceDE/>
              <w:autoSpaceDN/>
              <w:bidi w:val="0"/>
              <w:adjustRightInd/>
              <w:snapToGrid/>
              <w:ind w:left="0"/>
              <w:jc w:val="center"/>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7" w:type="pct"/>
          </w:tcPr>
          <w:p>
            <w:pPr>
              <w:pStyle w:val="17"/>
              <w:jc w:val="left"/>
              <w:rPr>
                <w:rStyle w:val="44"/>
                <w:rFonts w:hint="default" w:ascii="Times New Roman" w:hAnsi="Times New Roman" w:eastAsia="宋体" w:cs="Times New Roman"/>
                <w:color w:val="auto"/>
                <w:spacing w:val="0"/>
                <w:sz w:val="22"/>
                <w:szCs w:val="22"/>
                <w:highlight w:val="none"/>
                <w:vertAlign w:val="baseline"/>
                <w:lang w:val="en-US" w:eastAsia="zh-CN"/>
              </w:rPr>
            </w:pPr>
            <w:r>
              <w:rPr>
                <w:rStyle w:val="44"/>
                <w:rFonts w:hint="default" w:ascii="Times New Roman" w:hAnsi="Times New Roman" w:eastAsia="宋体" w:cs="Times New Roman"/>
                <w:color w:val="auto"/>
                <w:spacing w:val="0"/>
                <w:sz w:val="22"/>
                <w:szCs w:val="22"/>
                <w:highlight w:val="none"/>
                <w:vertAlign w:val="baseline"/>
                <w:lang w:val="en-US" w:eastAsia="zh-CN"/>
              </w:rPr>
              <w:t>3.多年平均降雨量</w:t>
            </w:r>
          </w:p>
        </w:tc>
        <w:tc>
          <w:tcPr>
            <w:tcW w:w="528" w:type="pct"/>
          </w:tcPr>
          <w:p>
            <w:pPr>
              <w:pStyle w:val="17"/>
              <w:jc w:val="center"/>
              <w:rPr>
                <w:rStyle w:val="44"/>
                <w:rFonts w:hint="default" w:ascii="Times New Roman" w:hAnsi="Times New Roman" w:eastAsia="宋体" w:cs="Times New Roman"/>
                <w:color w:val="auto"/>
                <w:spacing w:val="0"/>
                <w:sz w:val="22"/>
                <w:szCs w:val="22"/>
                <w:highlight w:val="none"/>
                <w:vertAlign w:val="baseline"/>
                <w:lang w:val="en-US" w:eastAsia="zh-CN"/>
              </w:rPr>
            </w:pPr>
            <w:r>
              <w:rPr>
                <w:rStyle w:val="44"/>
                <w:rFonts w:hint="eastAsia" w:eastAsia="宋体" w:cs="Times New Roman"/>
                <w:color w:val="auto"/>
                <w:spacing w:val="0"/>
                <w:sz w:val="22"/>
                <w:szCs w:val="22"/>
                <w:highlight w:val="none"/>
                <w:vertAlign w:val="baseline"/>
                <w:lang w:val="en-US" w:eastAsia="zh-CN"/>
              </w:rPr>
              <w:t>mm</w:t>
            </w:r>
          </w:p>
        </w:tc>
        <w:tc>
          <w:tcPr>
            <w:tcW w:w="1281" w:type="pct"/>
          </w:tcPr>
          <w:p>
            <w:pPr>
              <w:pStyle w:val="17"/>
              <w:keepNext w:val="0"/>
              <w:keepLines w:val="0"/>
              <w:pageBreakBefore w:val="0"/>
              <w:widowControl w:val="0"/>
              <w:kinsoku/>
              <w:wordWrap/>
              <w:overflowPunct/>
              <w:topLinePunct w:val="0"/>
              <w:autoSpaceDE/>
              <w:autoSpaceDN/>
              <w:bidi w:val="0"/>
              <w:adjustRightInd/>
              <w:snapToGrid/>
              <w:ind w:left="0"/>
              <w:jc w:val="center"/>
              <w:textAlignment w:val="auto"/>
              <w:rPr>
                <w:rStyle w:val="44"/>
                <w:rFonts w:hint="eastAsia" w:ascii="仿宋_GB2312" w:hAnsi="仿宋_GB2312" w:eastAsia="仿宋_GB2312" w:cs="仿宋_GB2312"/>
                <w:color w:val="auto"/>
                <w:spacing w:val="0"/>
                <w:sz w:val="22"/>
                <w:szCs w:val="22"/>
                <w:highlight w:val="none"/>
                <w:vertAlign w:val="baseline"/>
                <w:lang w:val="en-US" w:eastAsia="zh-CN"/>
              </w:rPr>
            </w:pPr>
            <w:r>
              <w:rPr>
                <w:rStyle w:val="44"/>
                <w:rFonts w:hint="eastAsia" w:ascii="仿宋_GB2312" w:hAnsi="仿宋_GB2312" w:eastAsia="仿宋_GB2312" w:cs="仿宋_GB2312"/>
                <w:color w:val="auto"/>
                <w:spacing w:val="0"/>
                <w:sz w:val="22"/>
                <w:szCs w:val="22"/>
                <w:highlight w:val="none"/>
                <w:vertAlign w:val="baseline"/>
                <w:lang w:val="en-US" w:eastAsia="zh-CN"/>
              </w:rPr>
              <w:t>1600</w:t>
            </w:r>
          </w:p>
        </w:tc>
        <w:tc>
          <w:tcPr>
            <w:tcW w:w="1312" w:type="pct"/>
          </w:tcPr>
          <w:p>
            <w:pPr>
              <w:pStyle w:val="17"/>
              <w:keepNext w:val="0"/>
              <w:keepLines w:val="0"/>
              <w:pageBreakBefore w:val="0"/>
              <w:widowControl w:val="0"/>
              <w:kinsoku/>
              <w:wordWrap/>
              <w:overflowPunct/>
              <w:topLinePunct w:val="0"/>
              <w:autoSpaceDE/>
              <w:autoSpaceDN/>
              <w:bidi w:val="0"/>
              <w:adjustRightInd/>
              <w:snapToGrid/>
              <w:ind w:left="0"/>
              <w:jc w:val="center"/>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7" w:type="pct"/>
          </w:tcPr>
          <w:p>
            <w:pPr>
              <w:pStyle w:val="17"/>
              <w:jc w:val="left"/>
              <w:rPr>
                <w:rStyle w:val="44"/>
                <w:rFonts w:hint="default" w:ascii="Times New Roman" w:hAnsi="Times New Roman" w:eastAsia="宋体" w:cs="Times New Roman"/>
                <w:color w:val="auto"/>
                <w:spacing w:val="0"/>
                <w:sz w:val="22"/>
                <w:szCs w:val="22"/>
                <w:highlight w:val="none"/>
                <w:vertAlign w:val="baseline"/>
                <w:lang w:val="en-US" w:eastAsia="zh-CN"/>
              </w:rPr>
            </w:pPr>
            <w:r>
              <w:rPr>
                <w:rStyle w:val="44"/>
                <w:rFonts w:hint="default" w:ascii="Times New Roman" w:hAnsi="Times New Roman" w:eastAsia="宋体" w:cs="Times New Roman"/>
                <w:color w:val="auto"/>
                <w:spacing w:val="0"/>
                <w:sz w:val="22"/>
                <w:szCs w:val="22"/>
                <w:highlight w:val="none"/>
                <w:vertAlign w:val="baseline"/>
                <w:lang w:val="en-US" w:eastAsia="zh-CN"/>
              </w:rPr>
              <w:t>4.多年平均年径流量</w:t>
            </w:r>
          </w:p>
        </w:tc>
        <w:tc>
          <w:tcPr>
            <w:tcW w:w="528" w:type="pct"/>
          </w:tcPr>
          <w:p>
            <w:pPr>
              <w:pStyle w:val="17"/>
              <w:jc w:val="center"/>
              <w:rPr>
                <w:rStyle w:val="44"/>
                <w:rFonts w:hint="default" w:ascii="Times New Roman" w:hAnsi="Times New Roman" w:eastAsia="宋体" w:cs="Times New Roman"/>
                <w:color w:val="auto"/>
                <w:spacing w:val="0"/>
                <w:sz w:val="22"/>
                <w:szCs w:val="22"/>
                <w:highlight w:val="none"/>
                <w:vertAlign w:val="baseline"/>
                <w:lang w:val="en-US" w:eastAsia="zh-CN"/>
              </w:rPr>
            </w:pPr>
            <w:r>
              <w:rPr>
                <w:rStyle w:val="44"/>
                <w:rFonts w:hint="eastAsia" w:eastAsia="宋体" w:cs="Times New Roman"/>
                <w:color w:val="auto"/>
                <w:spacing w:val="0"/>
                <w:sz w:val="22"/>
                <w:szCs w:val="22"/>
                <w:highlight w:val="none"/>
                <w:vertAlign w:val="baseline"/>
                <w:lang w:val="en-US" w:eastAsia="zh-CN"/>
              </w:rPr>
              <w:t>万</w:t>
            </w:r>
            <w:r>
              <w:rPr>
                <w:rStyle w:val="44"/>
                <w:rFonts w:hint="default" w:ascii="Times New Roman" w:hAnsi="Times New Roman" w:eastAsia="宋体" w:cs="Times New Roman"/>
                <w:color w:val="auto"/>
                <w:spacing w:val="0"/>
                <w:sz w:val="22"/>
                <w:szCs w:val="22"/>
                <w:highlight w:val="none"/>
                <w:vertAlign w:val="baseline"/>
                <w:lang w:val="en-US" w:eastAsia="zh-CN"/>
              </w:rPr>
              <w:t>m</w:t>
            </w:r>
            <w:r>
              <w:rPr>
                <w:rStyle w:val="44"/>
                <w:rFonts w:hint="default" w:ascii="Times New Roman" w:hAnsi="Times New Roman" w:eastAsia="宋体" w:cs="Times New Roman"/>
                <w:color w:val="auto"/>
                <w:spacing w:val="0"/>
                <w:sz w:val="22"/>
                <w:szCs w:val="22"/>
                <w:highlight w:val="none"/>
                <w:vertAlign w:val="superscript"/>
                <w:lang w:val="en-US" w:eastAsia="zh-CN"/>
              </w:rPr>
              <w:t>3</w:t>
            </w:r>
          </w:p>
        </w:tc>
        <w:tc>
          <w:tcPr>
            <w:tcW w:w="1281" w:type="pct"/>
          </w:tcPr>
          <w:p>
            <w:pPr>
              <w:pStyle w:val="17"/>
              <w:keepNext w:val="0"/>
              <w:keepLines w:val="0"/>
              <w:pageBreakBefore w:val="0"/>
              <w:widowControl w:val="0"/>
              <w:kinsoku/>
              <w:wordWrap/>
              <w:overflowPunct/>
              <w:topLinePunct w:val="0"/>
              <w:autoSpaceDE/>
              <w:autoSpaceDN/>
              <w:bidi w:val="0"/>
              <w:adjustRightInd/>
              <w:snapToGrid/>
              <w:ind w:left="0"/>
              <w:jc w:val="center"/>
              <w:textAlignment w:val="auto"/>
              <w:rPr>
                <w:rStyle w:val="44"/>
                <w:rFonts w:hint="eastAsia" w:ascii="仿宋_GB2312" w:hAnsi="仿宋_GB2312" w:eastAsia="仿宋_GB2312" w:cs="仿宋_GB2312"/>
                <w:color w:val="auto"/>
                <w:spacing w:val="0"/>
                <w:sz w:val="22"/>
                <w:szCs w:val="22"/>
                <w:highlight w:val="none"/>
                <w:vertAlign w:val="baseline"/>
                <w:lang w:val="en-US" w:eastAsia="zh-CN"/>
              </w:rPr>
            </w:pPr>
            <w:r>
              <w:rPr>
                <w:rStyle w:val="44"/>
                <w:rFonts w:hint="eastAsia" w:ascii="仿宋_GB2312" w:hAnsi="仿宋_GB2312" w:eastAsia="仿宋_GB2312" w:cs="仿宋_GB2312"/>
                <w:color w:val="auto"/>
                <w:spacing w:val="0"/>
                <w:sz w:val="22"/>
                <w:szCs w:val="22"/>
                <w:highlight w:val="none"/>
                <w:vertAlign w:val="baseline"/>
                <w:lang w:val="en-US" w:eastAsia="zh-CN"/>
              </w:rPr>
              <w:t>1116</w:t>
            </w:r>
          </w:p>
        </w:tc>
        <w:tc>
          <w:tcPr>
            <w:tcW w:w="1312" w:type="pct"/>
          </w:tcPr>
          <w:p>
            <w:pPr>
              <w:pStyle w:val="17"/>
              <w:keepNext w:val="0"/>
              <w:keepLines w:val="0"/>
              <w:pageBreakBefore w:val="0"/>
              <w:widowControl w:val="0"/>
              <w:kinsoku/>
              <w:wordWrap/>
              <w:overflowPunct/>
              <w:topLinePunct w:val="0"/>
              <w:autoSpaceDE/>
              <w:autoSpaceDN/>
              <w:bidi w:val="0"/>
              <w:adjustRightInd/>
              <w:snapToGrid/>
              <w:ind w:left="0"/>
              <w:jc w:val="center"/>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7" w:type="pct"/>
          </w:tcPr>
          <w:p>
            <w:pPr>
              <w:pStyle w:val="17"/>
              <w:keepNext w:val="0"/>
              <w:keepLines w:val="0"/>
              <w:pageBreakBefore w:val="0"/>
              <w:widowControl w:val="0"/>
              <w:kinsoku/>
              <w:wordWrap/>
              <w:overflowPunct/>
              <w:topLinePunct w:val="0"/>
              <w:autoSpaceDE/>
              <w:autoSpaceDN/>
              <w:bidi w:val="0"/>
              <w:adjustRightInd/>
              <w:snapToGrid/>
              <w:jc w:val="left"/>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r>
              <w:rPr>
                <w:rStyle w:val="44"/>
                <w:rFonts w:hint="eastAsia" w:eastAsia="宋体" w:cs="Times New Roman"/>
                <w:color w:val="auto"/>
                <w:spacing w:val="0"/>
                <w:sz w:val="22"/>
                <w:szCs w:val="22"/>
                <w:highlight w:val="none"/>
                <w:vertAlign w:val="baseline"/>
                <w:lang w:val="en-US" w:eastAsia="zh-CN"/>
              </w:rPr>
              <w:t>5</w:t>
            </w:r>
            <w:r>
              <w:rPr>
                <w:rStyle w:val="44"/>
                <w:rFonts w:hint="default" w:ascii="Times New Roman" w:hAnsi="Times New Roman" w:eastAsia="宋体" w:cs="Times New Roman"/>
                <w:color w:val="auto"/>
                <w:spacing w:val="0"/>
                <w:sz w:val="22"/>
                <w:szCs w:val="22"/>
                <w:highlight w:val="none"/>
                <w:vertAlign w:val="baseline"/>
                <w:lang w:val="en-US" w:eastAsia="zh-CN"/>
              </w:rPr>
              <w:t>.</w:t>
            </w:r>
            <w:r>
              <w:rPr>
                <w:rStyle w:val="44"/>
                <w:rFonts w:hint="eastAsia" w:eastAsia="宋体" w:cs="Times New Roman"/>
                <w:color w:val="auto"/>
                <w:spacing w:val="0"/>
                <w:sz w:val="22"/>
                <w:szCs w:val="22"/>
                <w:highlight w:val="none"/>
                <w:vertAlign w:val="baseline"/>
                <w:lang w:val="en-US" w:eastAsia="zh-CN"/>
              </w:rPr>
              <w:t>特征水位</w:t>
            </w:r>
          </w:p>
        </w:tc>
        <w:tc>
          <w:tcPr>
            <w:tcW w:w="528" w:type="pct"/>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p>
        </w:tc>
        <w:tc>
          <w:tcPr>
            <w:tcW w:w="1281" w:type="pct"/>
          </w:tcPr>
          <w:p>
            <w:pPr>
              <w:pStyle w:val="17"/>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Style w:val="44"/>
                <w:rFonts w:hint="eastAsia" w:ascii="仿宋_GB2312" w:hAnsi="仿宋_GB2312" w:eastAsia="仿宋_GB2312" w:cs="仿宋_GB2312"/>
                <w:color w:val="auto"/>
                <w:spacing w:val="0"/>
                <w:sz w:val="22"/>
                <w:szCs w:val="22"/>
                <w:highlight w:val="none"/>
                <w:vertAlign w:val="baseline"/>
                <w:lang w:val="en-US" w:eastAsia="zh-CN"/>
              </w:rPr>
            </w:pPr>
          </w:p>
        </w:tc>
        <w:tc>
          <w:tcPr>
            <w:tcW w:w="1312" w:type="pct"/>
          </w:tcPr>
          <w:p>
            <w:pPr>
              <w:pStyle w:val="17"/>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877" w:type="pct"/>
            <w:vAlign w:val="center"/>
          </w:tcPr>
          <w:p>
            <w:pPr>
              <w:pStyle w:val="40"/>
              <w:widowControl w:val="0"/>
              <w:jc w:val="center"/>
              <w:rPr>
                <w:rFonts w:hint="default" w:eastAsia="宋体"/>
                <w:color w:val="auto"/>
                <w:highlight w:val="none"/>
                <w:lang w:val="en-US" w:eastAsia="zh-CN"/>
              </w:rPr>
            </w:pPr>
            <w:r>
              <w:rPr>
                <w:rFonts w:hint="eastAsia"/>
                <w:color w:val="auto"/>
                <w:highlight w:val="none"/>
                <w:lang w:val="en-US" w:eastAsia="zh-CN"/>
              </w:rPr>
              <w:t>死水位</w:t>
            </w:r>
          </w:p>
        </w:tc>
        <w:tc>
          <w:tcPr>
            <w:tcW w:w="528" w:type="pct"/>
            <w:vAlign w:val="center"/>
          </w:tcPr>
          <w:p>
            <w:pPr>
              <w:pStyle w:val="40"/>
              <w:widowControl w:val="0"/>
              <w:jc w:val="center"/>
              <w:rPr>
                <w:color w:val="auto"/>
                <w:highlight w:val="none"/>
              </w:rPr>
            </w:pPr>
            <w:r>
              <w:rPr>
                <w:color w:val="auto"/>
                <w:highlight w:val="none"/>
              </w:rPr>
              <w:t>m</w:t>
            </w:r>
          </w:p>
        </w:tc>
        <w:tc>
          <w:tcPr>
            <w:tcW w:w="1281" w:type="pct"/>
            <w:vAlign w:val="center"/>
          </w:tcPr>
          <w:p>
            <w:pPr>
              <w:pStyle w:val="40"/>
              <w:widowControl w:val="0"/>
              <w:jc w:val="center"/>
              <w:rPr>
                <w:rFonts w:hint="eastAsia" w:ascii="仿宋_GB2312" w:hAnsi="仿宋_GB2312" w:eastAsia="仿宋_GB2312" w:cs="仿宋_GB2312"/>
                <w:color w:val="auto"/>
                <w:sz w:val="22"/>
                <w:szCs w:val="22"/>
                <w:highlight w:val="none"/>
              </w:rPr>
            </w:pPr>
            <w:r>
              <w:rPr>
                <w:rFonts w:hint="eastAsia" w:ascii="仿宋_GB2312" w:hAnsi="仿宋_GB2312" w:eastAsia="仿宋_GB2312" w:cs="仿宋_GB2312"/>
                <w:color w:val="auto"/>
                <w:sz w:val="22"/>
                <w:szCs w:val="22"/>
                <w:highlight w:val="none"/>
                <w:lang w:eastAsia="zh-CN"/>
              </w:rPr>
              <w:t>206.75</w:t>
            </w:r>
          </w:p>
        </w:tc>
        <w:tc>
          <w:tcPr>
            <w:tcW w:w="1312" w:type="pct"/>
            <w:vAlign w:val="center"/>
          </w:tcPr>
          <w:p>
            <w:pPr>
              <w:pStyle w:val="40"/>
              <w:widowControl w:val="0"/>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877" w:type="pct"/>
            <w:vAlign w:val="center"/>
          </w:tcPr>
          <w:p>
            <w:pPr>
              <w:pStyle w:val="40"/>
              <w:widowControl w:val="0"/>
              <w:jc w:val="center"/>
              <w:rPr>
                <w:rFonts w:hint="eastAsia"/>
                <w:color w:val="auto"/>
                <w:highlight w:val="none"/>
                <w:lang w:val="en-US" w:eastAsia="zh-CN"/>
              </w:rPr>
            </w:pPr>
            <w:r>
              <w:rPr>
                <w:rFonts w:hint="eastAsia"/>
                <w:color w:val="auto"/>
                <w:highlight w:val="none"/>
                <w:lang w:val="en-US" w:eastAsia="zh-CN"/>
              </w:rPr>
              <w:t>死库容</w:t>
            </w:r>
          </w:p>
        </w:tc>
        <w:tc>
          <w:tcPr>
            <w:tcW w:w="528" w:type="pct"/>
            <w:vAlign w:val="center"/>
          </w:tcPr>
          <w:p>
            <w:pPr>
              <w:pStyle w:val="40"/>
              <w:widowControl w:val="0"/>
              <w:jc w:val="center"/>
              <w:rPr>
                <w:color w:val="auto"/>
                <w:highlight w:val="none"/>
              </w:rPr>
            </w:pPr>
            <w:r>
              <w:rPr>
                <w:rStyle w:val="44"/>
                <w:rFonts w:hint="eastAsia" w:eastAsia="宋体" w:cs="Times New Roman"/>
                <w:color w:val="auto"/>
                <w:spacing w:val="0"/>
                <w:sz w:val="22"/>
                <w:szCs w:val="22"/>
                <w:highlight w:val="none"/>
                <w:vertAlign w:val="baseline"/>
                <w:lang w:val="en-US" w:eastAsia="zh-CN"/>
              </w:rPr>
              <w:t>万</w:t>
            </w:r>
            <w:r>
              <w:rPr>
                <w:rStyle w:val="44"/>
                <w:rFonts w:hint="default" w:ascii="Times New Roman" w:hAnsi="Times New Roman" w:eastAsia="宋体" w:cs="Times New Roman"/>
                <w:color w:val="auto"/>
                <w:spacing w:val="0"/>
                <w:sz w:val="22"/>
                <w:szCs w:val="22"/>
                <w:highlight w:val="none"/>
                <w:vertAlign w:val="baseline"/>
                <w:lang w:val="en-US" w:eastAsia="zh-CN"/>
              </w:rPr>
              <w:t>m</w:t>
            </w:r>
            <w:r>
              <w:rPr>
                <w:rStyle w:val="44"/>
                <w:rFonts w:hint="default" w:ascii="Times New Roman" w:hAnsi="Times New Roman" w:eastAsia="宋体" w:cs="Times New Roman"/>
                <w:color w:val="auto"/>
                <w:spacing w:val="0"/>
                <w:sz w:val="22"/>
                <w:szCs w:val="22"/>
                <w:highlight w:val="none"/>
                <w:vertAlign w:val="superscript"/>
                <w:lang w:val="en-US" w:eastAsia="zh-CN"/>
              </w:rPr>
              <w:t>3</w:t>
            </w:r>
          </w:p>
        </w:tc>
        <w:tc>
          <w:tcPr>
            <w:tcW w:w="1281" w:type="pct"/>
            <w:vAlign w:val="center"/>
          </w:tcPr>
          <w:p>
            <w:pPr>
              <w:pStyle w:val="40"/>
              <w:widowControl w:val="0"/>
              <w:jc w:val="center"/>
              <w:rPr>
                <w:rFonts w:hint="default" w:ascii="仿宋_GB2312" w:hAnsi="仿宋_GB2312" w:eastAsia="仿宋_GB2312" w:cs="仿宋_GB2312"/>
                <w:color w:val="auto"/>
                <w:sz w:val="22"/>
                <w:szCs w:val="22"/>
                <w:highlight w:val="none"/>
                <w:lang w:val="en-US" w:eastAsia="zh-CN"/>
              </w:rPr>
            </w:pPr>
            <w:r>
              <w:rPr>
                <w:rFonts w:hint="eastAsia" w:ascii="仿宋_GB2312" w:hAnsi="仿宋_GB2312" w:eastAsia="仿宋_GB2312" w:cs="仿宋_GB2312"/>
                <w:color w:val="auto"/>
                <w:sz w:val="22"/>
                <w:szCs w:val="22"/>
                <w:highlight w:val="none"/>
                <w:lang w:val="en-US" w:eastAsia="zh-CN"/>
              </w:rPr>
              <w:t>8</w:t>
            </w:r>
          </w:p>
        </w:tc>
        <w:tc>
          <w:tcPr>
            <w:tcW w:w="1312" w:type="pct"/>
            <w:vAlign w:val="center"/>
          </w:tcPr>
          <w:p>
            <w:pPr>
              <w:pStyle w:val="40"/>
              <w:widowControl w:val="0"/>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877" w:type="pct"/>
            <w:vAlign w:val="center"/>
          </w:tcPr>
          <w:p>
            <w:pPr>
              <w:pStyle w:val="40"/>
              <w:widowControl w:val="0"/>
              <w:jc w:val="center"/>
              <w:rPr>
                <w:rFonts w:hint="eastAsia"/>
                <w:color w:val="auto"/>
                <w:highlight w:val="none"/>
                <w:lang w:val="en-US" w:eastAsia="zh-CN"/>
              </w:rPr>
            </w:pPr>
            <w:r>
              <w:rPr>
                <w:rFonts w:hint="eastAsia"/>
                <w:color w:val="auto"/>
                <w:highlight w:val="none"/>
                <w:lang w:val="en-US" w:eastAsia="zh-CN"/>
              </w:rPr>
              <w:t>正常蓄水位</w:t>
            </w:r>
          </w:p>
        </w:tc>
        <w:tc>
          <w:tcPr>
            <w:tcW w:w="528" w:type="pct"/>
            <w:vAlign w:val="center"/>
          </w:tcPr>
          <w:p>
            <w:pPr>
              <w:pStyle w:val="40"/>
              <w:widowControl w:val="0"/>
              <w:jc w:val="center"/>
              <w:rPr>
                <w:color w:val="auto"/>
                <w:highlight w:val="none"/>
              </w:rPr>
            </w:pPr>
            <w:r>
              <w:rPr>
                <w:color w:val="auto"/>
                <w:highlight w:val="none"/>
              </w:rPr>
              <w:t>m</w:t>
            </w:r>
          </w:p>
        </w:tc>
        <w:tc>
          <w:tcPr>
            <w:tcW w:w="1281" w:type="pct"/>
            <w:vAlign w:val="center"/>
          </w:tcPr>
          <w:p>
            <w:pPr>
              <w:pStyle w:val="40"/>
              <w:widowControl w:val="0"/>
              <w:jc w:val="center"/>
              <w:rPr>
                <w:rFonts w:hint="eastAsia" w:ascii="仿宋_GB2312" w:hAnsi="仿宋_GB2312" w:eastAsia="仿宋_GB2312" w:cs="仿宋_GB2312"/>
                <w:color w:val="auto"/>
                <w:sz w:val="22"/>
                <w:szCs w:val="22"/>
                <w:highlight w:val="none"/>
                <w:lang w:eastAsia="zh-CN"/>
              </w:rPr>
            </w:pPr>
            <w:r>
              <w:rPr>
                <w:rFonts w:hint="eastAsia" w:ascii="仿宋_GB2312" w:hAnsi="仿宋_GB2312" w:eastAsia="仿宋_GB2312" w:cs="仿宋_GB2312"/>
                <w:color w:val="auto"/>
                <w:sz w:val="22"/>
                <w:szCs w:val="22"/>
                <w:highlight w:val="none"/>
                <w:lang w:val="en-US" w:eastAsia="zh-CN"/>
              </w:rPr>
              <w:t>223.8</w:t>
            </w:r>
          </w:p>
        </w:tc>
        <w:tc>
          <w:tcPr>
            <w:tcW w:w="1312" w:type="pct"/>
            <w:vAlign w:val="center"/>
          </w:tcPr>
          <w:p>
            <w:pPr>
              <w:pStyle w:val="40"/>
              <w:widowControl w:val="0"/>
              <w:jc w:val="center"/>
              <w:rPr>
                <w:rFonts w:hint="default" w:eastAsia="宋体"/>
                <w:color w:val="auto"/>
                <w:highlight w:val="none"/>
                <w:lang w:val="en-US" w:eastAsia="zh-CN"/>
              </w:rPr>
            </w:pPr>
            <w:r>
              <w:rPr>
                <w:rFonts w:hint="eastAsia"/>
                <w:color w:val="auto"/>
                <w:highlight w:val="none"/>
                <w:lang w:val="en-US" w:eastAsia="zh-CN"/>
              </w:rPr>
              <w:t>实测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877" w:type="pct"/>
            <w:vAlign w:val="center"/>
          </w:tcPr>
          <w:p>
            <w:pPr>
              <w:pStyle w:val="40"/>
              <w:widowControl w:val="0"/>
              <w:jc w:val="center"/>
              <w:rPr>
                <w:rStyle w:val="44"/>
                <w:rFonts w:hint="default" w:ascii="Times New Roman" w:hAnsi="Times New Roman" w:eastAsia="宋体" w:cs="Times New Roman"/>
                <w:color w:val="auto"/>
                <w:spacing w:val="0"/>
                <w:sz w:val="22"/>
                <w:szCs w:val="22"/>
                <w:highlight w:val="none"/>
                <w:vertAlign w:val="baseline"/>
                <w:lang w:val="en-US" w:eastAsia="zh-CN"/>
              </w:rPr>
            </w:pPr>
            <w:r>
              <w:rPr>
                <w:color w:val="auto"/>
                <w:highlight w:val="none"/>
              </w:rPr>
              <w:t>设计洪水位</w:t>
            </w:r>
          </w:p>
        </w:tc>
        <w:tc>
          <w:tcPr>
            <w:tcW w:w="528" w:type="pct"/>
            <w:vAlign w:val="center"/>
          </w:tcPr>
          <w:p>
            <w:pPr>
              <w:pStyle w:val="40"/>
              <w:widowControl w:val="0"/>
              <w:jc w:val="center"/>
              <w:rPr>
                <w:rStyle w:val="44"/>
                <w:rFonts w:hint="default" w:ascii="Times New Roman" w:hAnsi="Times New Roman" w:eastAsia="宋体" w:cs="Times New Roman"/>
                <w:color w:val="auto"/>
                <w:spacing w:val="0"/>
                <w:sz w:val="22"/>
                <w:szCs w:val="22"/>
                <w:highlight w:val="none"/>
                <w:vertAlign w:val="baseline"/>
                <w:lang w:val="en-US" w:eastAsia="zh-CN"/>
              </w:rPr>
            </w:pPr>
            <w:r>
              <w:rPr>
                <w:color w:val="auto"/>
                <w:highlight w:val="none"/>
              </w:rPr>
              <w:t>m</w:t>
            </w:r>
          </w:p>
        </w:tc>
        <w:tc>
          <w:tcPr>
            <w:tcW w:w="2670" w:type="dxa"/>
            <w:vAlign w:val="center"/>
          </w:tcPr>
          <w:p>
            <w:pPr>
              <w:pStyle w:val="40"/>
              <w:widowControl w:val="0"/>
              <w:jc w:val="center"/>
              <w:rPr>
                <w:rFonts w:hint="eastAsia" w:ascii="仿宋_GB2312" w:hAnsi="仿宋_GB2312" w:eastAsia="仿宋_GB2312" w:cs="仿宋_GB2312"/>
                <w:color w:val="auto"/>
                <w:sz w:val="22"/>
                <w:szCs w:val="22"/>
                <w:highlight w:val="none"/>
                <w:lang w:val="en-US" w:eastAsia="zh-CN"/>
              </w:rPr>
            </w:pPr>
            <w:r>
              <w:rPr>
                <w:rFonts w:hint="eastAsia" w:ascii="仿宋_GB2312" w:hAnsi="仿宋_GB2312" w:eastAsia="仿宋_GB2312" w:cs="仿宋_GB2312"/>
                <w:color w:val="auto"/>
                <w:sz w:val="22"/>
                <w:szCs w:val="22"/>
                <w:highlight w:val="none"/>
                <w:lang w:val="en-US" w:eastAsia="zh-CN"/>
              </w:rPr>
              <w:t>228.62</w:t>
            </w:r>
          </w:p>
        </w:tc>
        <w:tc>
          <w:tcPr>
            <w:tcW w:w="1312" w:type="pct"/>
            <w:vMerge w:val="restart"/>
            <w:vAlign w:val="center"/>
          </w:tcPr>
          <w:p>
            <w:pPr>
              <w:pStyle w:val="40"/>
              <w:keepNext w:val="0"/>
              <w:keepLines w:val="0"/>
              <w:pageBreakBefore w:val="0"/>
              <w:widowControl w:val="0"/>
              <w:kinsoku/>
              <w:wordWrap/>
              <w:overflowPunct/>
              <w:topLinePunct w:val="0"/>
              <w:autoSpaceDE/>
              <w:autoSpaceDN/>
              <w:bidi w:val="0"/>
              <w:adjustRightInd/>
              <w:snapToGrid/>
              <w:spacing w:line="240" w:lineRule="auto"/>
              <w:jc w:val="center"/>
              <w:textAlignment w:val="auto"/>
              <w:rPr>
                <w:color w:val="auto"/>
                <w:highlight w:val="none"/>
              </w:rPr>
            </w:pPr>
            <w:r>
              <w:rPr>
                <w:color w:val="auto"/>
                <w:highlight w:val="none"/>
              </w:rPr>
              <w:t>设计洪水（P=</w:t>
            </w:r>
            <w:r>
              <w:rPr>
                <w:rFonts w:hint="eastAsia"/>
                <w:color w:val="auto"/>
                <w:highlight w:val="none"/>
              </w:rPr>
              <w:t>2</w:t>
            </w:r>
            <w:r>
              <w:rPr>
                <w:color w:val="auto"/>
                <w:highlight w:val="none"/>
              </w:rPr>
              <w:t>%）</w:t>
            </w:r>
          </w:p>
          <w:p>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textAlignment w:val="auto"/>
              <w:rPr>
                <w:rFonts w:hint="default" w:eastAsia="宋体"/>
                <w:color w:val="auto"/>
                <w:highlight w:val="none"/>
                <w:lang w:val="en-US" w:eastAsia="zh-CN"/>
              </w:rPr>
            </w:pPr>
            <w:r>
              <w:rPr>
                <w:rFonts w:hint="eastAsia"/>
                <w:color w:val="auto"/>
                <w:highlight w:val="none"/>
                <w:lang w:val="en-US" w:eastAsia="zh-CN"/>
              </w:rPr>
              <w:t>50年一遇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877" w:type="pct"/>
            <w:vAlign w:val="center"/>
          </w:tcPr>
          <w:p>
            <w:pPr>
              <w:pStyle w:val="40"/>
              <w:widowControl w:val="0"/>
              <w:jc w:val="center"/>
              <w:rPr>
                <w:rStyle w:val="44"/>
                <w:rFonts w:hint="default" w:ascii="Times New Roman" w:hAnsi="Times New Roman" w:eastAsia="宋体" w:cs="Times New Roman"/>
                <w:color w:val="auto"/>
                <w:spacing w:val="0"/>
                <w:sz w:val="22"/>
                <w:szCs w:val="22"/>
                <w:highlight w:val="none"/>
                <w:vertAlign w:val="baseline"/>
                <w:lang w:val="en-US" w:eastAsia="zh-CN"/>
              </w:rPr>
            </w:pPr>
            <w:r>
              <w:rPr>
                <w:color w:val="auto"/>
                <w:highlight w:val="none"/>
              </w:rPr>
              <w:t>相应库容</w:t>
            </w:r>
          </w:p>
        </w:tc>
        <w:tc>
          <w:tcPr>
            <w:tcW w:w="528" w:type="pct"/>
            <w:vAlign w:val="center"/>
          </w:tcPr>
          <w:p>
            <w:pPr>
              <w:pStyle w:val="40"/>
              <w:widowControl w:val="0"/>
              <w:jc w:val="center"/>
              <w:rPr>
                <w:rStyle w:val="44"/>
                <w:rFonts w:hint="default" w:ascii="Times New Roman" w:hAnsi="Times New Roman" w:eastAsia="宋体" w:cs="Times New Roman"/>
                <w:color w:val="auto"/>
                <w:spacing w:val="0"/>
                <w:sz w:val="22"/>
                <w:szCs w:val="22"/>
                <w:highlight w:val="none"/>
                <w:vertAlign w:val="baseline"/>
                <w:lang w:val="en-US" w:eastAsia="zh-CN"/>
              </w:rPr>
            </w:pPr>
            <w:r>
              <w:rPr>
                <w:color w:val="auto"/>
                <w:highlight w:val="none"/>
              </w:rPr>
              <w:t>万m³</w:t>
            </w:r>
          </w:p>
        </w:tc>
        <w:tc>
          <w:tcPr>
            <w:tcW w:w="2670" w:type="dxa"/>
            <w:vAlign w:val="center"/>
          </w:tcPr>
          <w:p>
            <w:pPr>
              <w:pStyle w:val="40"/>
              <w:widowControl w:val="0"/>
              <w:jc w:val="center"/>
              <w:rPr>
                <w:rFonts w:hint="eastAsia" w:ascii="仿宋_GB2312" w:hAnsi="仿宋_GB2312" w:eastAsia="仿宋_GB2312" w:cs="仿宋_GB2312"/>
                <w:color w:val="auto"/>
                <w:sz w:val="22"/>
                <w:szCs w:val="22"/>
                <w:highlight w:val="none"/>
                <w:lang w:val="en-US" w:eastAsia="zh-CN"/>
              </w:rPr>
            </w:pPr>
            <w:r>
              <w:rPr>
                <w:rFonts w:hint="eastAsia" w:ascii="仿宋_GB2312" w:hAnsi="仿宋_GB2312" w:eastAsia="仿宋_GB2312" w:cs="仿宋_GB2312"/>
                <w:color w:val="auto"/>
                <w:sz w:val="22"/>
                <w:szCs w:val="22"/>
                <w:highlight w:val="none"/>
                <w:lang w:val="en-US" w:eastAsia="zh-CN"/>
              </w:rPr>
              <w:t>369</w:t>
            </w:r>
          </w:p>
        </w:tc>
        <w:tc>
          <w:tcPr>
            <w:tcW w:w="1312" w:type="pct"/>
            <w:vMerge w:val="continue"/>
          </w:tcPr>
          <w:p>
            <w:pPr>
              <w:pStyle w:val="17"/>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877" w:type="pct"/>
            <w:vAlign w:val="center"/>
          </w:tcPr>
          <w:p>
            <w:pPr>
              <w:pStyle w:val="40"/>
              <w:widowControl w:val="0"/>
              <w:jc w:val="center"/>
              <w:rPr>
                <w:rStyle w:val="44"/>
                <w:rFonts w:hint="default" w:ascii="Times New Roman" w:hAnsi="Times New Roman" w:eastAsia="宋体" w:cs="Times New Roman"/>
                <w:color w:val="auto"/>
                <w:spacing w:val="0"/>
                <w:sz w:val="22"/>
                <w:szCs w:val="22"/>
                <w:highlight w:val="none"/>
                <w:vertAlign w:val="baseline"/>
                <w:lang w:val="en-US" w:eastAsia="zh-CN"/>
              </w:rPr>
            </w:pPr>
            <w:r>
              <w:rPr>
                <w:color w:val="auto"/>
                <w:highlight w:val="none"/>
              </w:rPr>
              <w:t>调洪库容</w:t>
            </w:r>
          </w:p>
        </w:tc>
        <w:tc>
          <w:tcPr>
            <w:tcW w:w="528" w:type="pct"/>
            <w:vAlign w:val="center"/>
          </w:tcPr>
          <w:p>
            <w:pPr>
              <w:pStyle w:val="40"/>
              <w:widowControl w:val="0"/>
              <w:jc w:val="center"/>
              <w:rPr>
                <w:rStyle w:val="44"/>
                <w:rFonts w:hint="default" w:ascii="Times New Roman" w:hAnsi="Times New Roman" w:eastAsia="宋体" w:cs="Times New Roman"/>
                <w:color w:val="auto"/>
                <w:spacing w:val="0"/>
                <w:sz w:val="22"/>
                <w:szCs w:val="22"/>
                <w:highlight w:val="none"/>
                <w:vertAlign w:val="baseline"/>
                <w:lang w:val="en-US" w:eastAsia="zh-CN"/>
              </w:rPr>
            </w:pPr>
            <w:r>
              <w:rPr>
                <w:color w:val="auto"/>
                <w:highlight w:val="none"/>
              </w:rPr>
              <w:t>万m³</w:t>
            </w:r>
          </w:p>
        </w:tc>
        <w:tc>
          <w:tcPr>
            <w:tcW w:w="2670" w:type="dxa"/>
            <w:vAlign w:val="center"/>
          </w:tcPr>
          <w:p>
            <w:pPr>
              <w:pStyle w:val="40"/>
              <w:widowControl w:val="0"/>
              <w:jc w:val="center"/>
              <w:rPr>
                <w:rFonts w:hint="eastAsia" w:ascii="仿宋_GB2312" w:hAnsi="仿宋_GB2312" w:eastAsia="仿宋_GB2312" w:cs="仿宋_GB2312"/>
                <w:color w:val="auto"/>
                <w:sz w:val="22"/>
                <w:szCs w:val="22"/>
                <w:highlight w:val="none"/>
                <w:lang w:val="en-US" w:eastAsia="zh-CN"/>
              </w:rPr>
            </w:pPr>
            <w:r>
              <w:rPr>
                <w:rFonts w:hint="eastAsia" w:ascii="仿宋_GB2312" w:hAnsi="仿宋_GB2312" w:eastAsia="仿宋_GB2312" w:cs="仿宋_GB2312"/>
                <w:color w:val="auto"/>
                <w:sz w:val="22"/>
                <w:szCs w:val="22"/>
                <w:highlight w:val="none"/>
                <w:lang w:val="en-US" w:eastAsia="zh-CN"/>
              </w:rPr>
              <w:t>83.5</w:t>
            </w:r>
          </w:p>
        </w:tc>
        <w:tc>
          <w:tcPr>
            <w:tcW w:w="1312" w:type="pct"/>
            <w:vMerge w:val="continue"/>
          </w:tcPr>
          <w:p>
            <w:pPr>
              <w:pStyle w:val="17"/>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877" w:type="pct"/>
            <w:vAlign w:val="center"/>
          </w:tcPr>
          <w:p>
            <w:pPr>
              <w:pStyle w:val="40"/>
              <w:widowControl w:val="0"/>
              <w:jc w:val="center"/>
              <w:rPr>
                <w:rStyle w:val="44"/>
                <w:rFonts w:hint="default" w:ascii="Times New Roman" w:hAnsi="Times New Roman" w:eastAsia="宋体" w:cs="Times New Roman"/>
                <w:color w:val="auto"/>
                <w:spacing w:val="0"/>
                <w:sz w:val="22"/>
                <w:szCs w:val="22"/>
                <w:highlight w:val="none"/>
                <w:vertAlign w:val="baseline"/>
                <w:lang w:val="en-US" w:eastAsia="zh-CN"/>
              </w:rPr>
            </w:pPr>
            <w:r>
              <w:rPr>
                <w:color w:val="auto"/>
                <w:highlight w:val="none"/>
              </w:rPr>
              <w:t>最大下泄流量</w:t>
            </w:r>
          </w:p>
        </w:tc>
        <w:tc>
          <w:tcPr>
            <w:tcW w:w="528" w:type="pct"/>
            <w:vAlign w:val="center"/>
          </w:tcPr>
          <w:p>
            <w:pPr>
              <w:pStyle w:val="40"/>
              <w:widowControl w:val="0"/>
              <w:jc w:val="center"/>
              <w:rPr>
                <w:rStyle w:val="44"/>
                <w:rFonts w:hint="default" w:ascii="Times New Roman" w:hAnsi="Times New Roman" w:eastAsia="宋体" w:cs="Times New Roman"/>
                <w:color w:val="auto"/>
                <w:spacing w:val="0"/>
                <w:sz w:val="22"/>
                <w:szCs w:val="22"/>
                <w:highlight w:val="none"/>
                <w:vertAlign w:val="baseline"/>
                <w:lang w:val="en-US" w:eastAsia="zh-CN"/>
              </w:rPr>
            </w:pPr>
            <w:r>
              <w:rPr>
                <w:color w:val="auto"/>
                <w:highlight w:val="none"/>
              </w:rPr>
              <w:t>m³/s</w:t>
            </w:r>
          </w:p>
        </w:tc>
        <w:tc>
          <w:tcPr>
            <w:tcW w:w="2670" w:type="dxa"/>
            <w:vAlign w:val="center"/>
          </w:tcPr>
          <w:p>
            <w:pPr>
              <w:pStyle w:val="40"/>
              <w:widowControl w:val="0"/>
              <w:jc w:val="center"/>
              <w:rPr>
                <w:rFonts w:hint="eastAsia" w:ascii="仿宋_GB2312" w:hAnsi="仿宋_GB2312" w:eastAsia="仿宋_GB2312" w:cs="仿宋_GB2312"/>
                <w:color w:val="auto"/>
                <w:sz w:val="22"/>
                <w:szCs w:val="22"/>
                <w:highlight w:val="none"/>
                <w:lang w:val="en-US" w:eastAsia="zh-CN"/>
              </w:rPr>
            </w:pPr>
            <w:r>
              <w:rPr>
                <w:rFonts w:hint="eastAsia" w:ascii="仿宋_GB2312" w:hAnsi="仿宋_GB2312" w:eastAsia="仿宋_GB2312" w:cs="仿宋_GB2312"/>
                <w:color w:val="auto"/>
                <w:sz w:val="22"/>
                <w:szCs w:val="22"/>
                <w:highlight w:val="none"/>
                <w:lang w:val="en-US" w:eastAsia="zh-CN"/>
              </w:rPr>
              <w:t>152.9</w:t>
            </w:r>
          </w:p>
        </w:tc>
        <w:tc>
          <w:tcPr>
            <w:tcW w:w="1312" w:type="pct"/>
            <w:vMerge w:val="continue"/>
          </w:tcPr>
          <w:p>
            <w:pPr>
              <w:pStyle w:val="17"/>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877" w:type="pct"/>
            <w:vAlign w:val="center"/>
          </w:tcPr>
          <w:p>
            <w:pPr>
              <w:pStyle w:val="40"/>
              <w:widowControl w:val="0"/>
              <w:jc w:val="center"/>
              <w:rPr>
                <w:rStyle w:val="44"/>
                <w:rFonts w:hint="default" w:ascii="Times New Roman" w:hAnsi="Times New Roman" w:eastAsia="宋体" w:cs="Times New Roman"/>
                <w:color w:val="auto"/>
                <w:spacing w:val="0"/>
                <w:sz w:val="22"/>
                <w:szCs w:val="22"/>
                <w:highlight w:val="none"/>
                <w:vertAlign w:val="baseline"/>
                <w:lang w:val="en-US" w:eastAsia="zh-CN"/>
              </w:rPr>
            </w:pPr>
            <w:r>
              <w:rPr>
                <w:color w:val="auto"/>
                <w:highlight w:val="none"/>
              </w:rPr>
              <w:t>校核洪水位</w:t>
            </w:r>
          </w:p>
        </w:tc>
        <w:tc>
          <w:tcPr>
            <w:tcW w:w="528" w:type="pct"/>
            <w:vAlign w:val="center"/>
          </w:tcPr>
          <w:p>
            <w:pPr>
              <w:pStyle w:val="40"/>
              <w:widowControl w:val="0"/>
              <w:jc w:val="center"/>
              <w:rPr>
                <w:rStyle w:val="44"/>
                <w:rFonts w:hint="default" w:ascii="Times New Roman" w:hAnsi="Times New Roman" w:eastAsia="宋体" w:cs="Times New Roman"/>
                <w:color w:val="auto"/>
                <w:spacing w:val="0"/>
                <w:sz w:val="22"/>
                <w:szCs w:val="22"/>
                <w:highlight w:val="none"/>
                <w:vertAlign w:val="baseline"/>
                <w:lang w:val="en-US" w:eastAsia="zh-CN"/>
              </w:rPr>
            </w:pPr>
            <w:r>
              <w:rPr>
                <w:color w:val="auto"/>
                <w:highlight w:val="none"/>
              </w:rPr>
              <w:t>m</w:t>
            </w:r>
          </w:p>
        </w:tc>
        <w:tc>
          <w:tcPr>
            <w:tcW w:w="2670" w:type="dxa"/>
            <w:vAlign w:val="center"/>
          </w:tcPr>
          <w:p>
            <w:pPr>
              <w:pStyle w:val="40"/>
              <w:widowControl w:val="0"/>
              <w:jc w:val="center"/>
              <w:rPr>
                <w:rFonts w:hint="eastAsia" w:ascii="仿宋_GB2312" w:hAnsi="仿宋_GB2312" w:eastAsia="仿宋_GB2312" w:cs="仿宋_GB2312"/>
                <w:color w:val="auto"/>
                <w:sz w:val="22"/>
                <w:szCs w:val="22"/>
                <w:highlight w:val="none"/>
                <w:lang w:val="en-US" w:eastAsia="zh-CN"/>
              </w:rPr>
            </w:pPr>
            <w:r>
              <w:rPr>
                <w:rFonts w:hint="eastAsia" w:ascii="仿宋_GB2312" w:hAnsi="仿宋_GB2312" w:eastAsia="仿宋_GB2312" w:cs="仿宋_GB2312"/>
                <w:color w:val="auto"/>
                <w:sz w:val="22"/>
                <w:szCs w:val="22"/>
                <w:highlight w:val="none"/>
                <w:lang w:val="en-US" w:eastAsia="zh-CN"/>
              </w:rPr>
              <w:t>229.38</w:t>
            </w:r>
          </w:p>
        </w:tc>
        <w:tc>
          <w:tcPr>
            <w:tcW w:w="1312" w:type="pct"/>
            <w:vMerge w:val="restart"/>
            <w:vAlign w:val="center"/>
          </w:tcPr>
          <w:p>
            <w:pPr>
              <w:pStyle w:val="40"/>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eastAsia="宋体" w:cs="Times New Roman"/>
                <w:color w:val="auto"/>
                <w:highlight w:val="none"/>
              </w:rPr>
            </w:pPr>
            <w:r>
              <w:rPr>
                <w:rFonts w:ascii="Times New Roman" w:hAnsi="Times New Roman" w:eastAsia="宋体" w:cs="Times New Roman"/>
                <w:color w:val="auto"/>
                <w:highlight w:val="none"/>
              </w:rPr>
              <w:t>校核洪水（P=0.</w:t>
            </w:r>
            <w:r>
              <w:rPr>
                <w:rFonts w:hint="eastAsia" w:ascii="Times New Roman" w:hAnsi="Times New Roman" w:eastAsia="宋体" w:cs="Times New Roman"/>
                <w:color w:val="auto"/>
                <w:highlight w:val="none"/>
              </w:rPr>
              <w:t>2</w:t>
            </w:r>
            <w:r>
              <w:rPr>
                <w:rFonts w:ascii="Times New Roman" w:hAnsi="Times New Roman" w:eastAsia="宋体" w:cs="Times New Roman"/>
                <w:color w:val="auto"/>
                <w:highlight w:val="none"/>
              </w:rPr>
              <w:t>%）</w:t>
            </w:r>
          </w:p>
          <w:p>
            <w:pPr>
              <w:pStyle w:val="40"/>
              <w:keepNext w:val="0"/>
              <w:keepLines w:val="0"/>
              <w:pageBreakBefore w:val="0"/>
              <w:widowControl w:val="0"/>
              <w:kinsoku/>
              <w:wordWrap/>
              <w:overflowPunct/>
              <w:topLinePunct w:val="0"/>
              <w:autoSpaceDE/>
              <w:autoSpaceDN/>
              <w:bidi w:val="0"/>
              <w:adjustRightInd/>
              <w:snapToGrid/>
              <w:spacing w:line="240" w:lineRule="auto"/>
              <w:jc w:val="center"/>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r>
              <w:rPr>
                <w:rFonts w:hint="eastAsia" w:ascii="Times New Roman" w:hAnsi="Times New Roman" w:eastAsia="宋体" w:cs="Times New Roman"/>
                <w:color w:val="auto"/>
                <w:highlight w:val="none"/>
                <w:lang w:val="en-US" w:eastAsia="zh-CN"/>
              </w:rPr>
              <w:t>500年一遇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877" w:type="pct"/>
            <w:vAlign w:val="center"/>
          </w:tcPr>
          <w:p>
            <w:pPr>
              <w:pStyle w:val="40"/>
              <w:widowControl w:val="0"/>
              <w:jc w:val="center"/>
              <w:rPr>
                <w:rStyle w:val="44"/>
                <w:rFonts w:hint="default" w:ascii="Times New Roman" w:hAnsi="Times New Roman" w:eastAsia="宋体" w:cs="Times New Roman"/>
                <w:color w:val="auto"/>
                <w:spacing w:val="0"/>
                <w:sz w:val="22"/>
                <w:szCs w:val="22"/>
                <w:highlight w:val="none"/>
                <w:vertAlign w:val="baseline"/>
                <w:lang w:val="en-US" w:eastAsia="zh-CN"/>
              </w:rPr>
            </w:pPr>
            <w:r>
              <w:rPr>
                <w:color w:val="auto"/>
                <w:highlight w:val="none"/>
              </w:rPr>
              <w:t>相应库容</w:t>
            </w:r>
          </w:p>
        </w:tc>
        <w:tc>
          <w:tcPr>
            <w:tcW w:w="528" w:type="pct"/>
            <w:vAlign w:val="center"/>
          </w:tcPr>
          <w:p>
            <w:pPr>
              <w:pStyle w:val="40"/>
              <w:widowControl w:val="0"/>
              <w:jc w:val="center"/>
              <w:rPr>
                <w:rStyle w:val="44"/>
                <w:rFonts w:hint="default" w:ascii="Times New Roman" w:hAnsi="Times New Roman" w:eastAsia="宋体" w:cs="Times New Roman"/>
                <w:color w:val="auto"/>
                <w:spacing w:val="0"/>
                <w:sz w:val="22"/>
                <w:szCs w:val="22"/>
                <w:highlight w:val="none"/>
                <w:vertAlign w:val="baseline"/>
                <w:lang w:val="en-US" w:eastAsia="zh-CN"/>
              </w:rPr>
            </w:pPr>
            <w:r>
              <w:rPr>
                <w:color w:val="auto"/>
                <w:highlight w:val="none"/>
              </w:rPr>
              <w:t>万m³</w:t>
            </w:r>
          </w:p>
        </w:tc>
        <w:tc>
          <w:tcPr>
            <w:tcW w:w="2670" w:type="dxa"/>
            <w:vAlign w:val="center"/>
          </w:tcPr>
          <w:p>
            <w:pPr>
              <w:pStyle w:val="40"/>
              <w:widowControl w:val="0"/>
              <w:jc w:val="center"/>
              <w:rPr>
                <w:rFonts w:hint="eastAsia" w:ascii="仿宋_GB2312" w:hAnsi="仿宋_GB2312" w:eastAsia="仿宋_GB2312" w:cs="仿宋_GB2312"/>
                <w:color w:val="auto"/>
                <w:sz w:val="22"/>
                <w:szCs w:val="22"/>
                <w:highlight w:val="none"/>
                <w:lang w:val="en-US" w:eastAsia="zh-CN"/>
              </w:rPr>
            </w:pPr>
            <w:r>
              <w:rPr>
                <w:rFonts w:hint="eastAsia" w:ascii="仿宋_GB2312" w:hAnsi="仿宋_GB2312" w:eastAsia="仿宋_GB2312" w:cs="仿宋_GB2312"/>
                <w:color w:val="auto"/>
                <w:sz w:val="22"/>
                <w:szCs w:val="22"/>
                <w:highlight w:val="none"/>
                <w:lang w:val="en-US" w:eastAsia="zh-CN"/>
              </w:rPr>
              <w:t>396</w:t>
            </w:r>
          </w:p>
        </w:tc>
        <w:tc>
          <w:tcPr>
            <w:tcW w:w="1312" w:type="pct"/>
            <w:vMerge w:val="continue"/>
          </w:tcPr>
          <w:p>
            <w:pPr>
              <w:pStyle w:val="17"/>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877" w:type="pct"/>
            <w:vAlign w:val="center"/>
          </w:tcPr>
          <w:p>
            <w:pPr>
              <w:pStyle w:val="40"/>
              <w:widowControl w:val="0"/>
              <w:jc w:val="center"/>
              <w:rPr>
                <w:rStyle w:val="44"/>
                <w:rFonts w:hint="default" w:ascii="Times New Roman" w:hAnsi="Times New Roman" w:eastAsia="宋体" w:cs="Times New Roman"/>
                <w:color w:val="auto"/>
                <w:spacing w:val="0"/>
                <w:sz w:val="22"/>
                <w:szCs w:val="22"/>
                <w:highlight w:val="none"/>
                <w:vertAlign w:val="baseline"/>
                <w:lang w:val="en-US" w:eastAsia="zh-CN"/>
              </w:rPr>
            </w:pPr>
            <w:r>
              <w:rPr>
                <w:color w:val="auto"/>
                <w:highlight w:val="none"/>
              </w:rPr>
              <w:t>调洪库容</w:t>
            </w:r>
          </w:p>
        </w:tc>
        <w:tc>
          <w:tcPr>
            <w:tcW w:w="528" w:type="pct"/>
            <w:vAlign w:val="center"/>
          </w:tcPr>
          <w:p>
            <w:pPr>
              <w:pStyle w:val="40"/>
              <w:widowControl w:val="0"/>
              <w:jc w:val="center"/>
              <w:rPr>
                <w:rStyle w:val="44"/>
                <w:rFonts w:hint="default" w:ascii="Times New Roman" w:hAnsi="Times New Roman" w:eastAsia="宋体" w:cs="Times New Roman"/>
                <w:color w:val="auto"/>
                <w:spacing w:val="0"/>
                <w:sz w:val="22"/>
                <w:szCs w:val="22"/>
                <w:highlight w:val="none"/>
                <w:vertAlign w:val="baseline"/>
                <w:lang w:val="en-US" w:eastAsia="zh-CN"/>
              </w:rPr>
            </w:pPr>
            <w:r>
              <w:rPr>
                <w:color w:val="auto"/>
                <w:highlight w:val="none"/>
              </w:rPr>
              <w:t>万m³</w:t>
            </w:r>
          </w:p>
        </w:tc>
        <w:tc>
          <w:tcPr>
            <w:tcW w:w="2670" w:type="dxa"/>
            <w:vAlign w:val="center"/>
          </w:tcPr>
          <w:p>
            <w:pPr>
              <w:pStyle w:val="40"/>
              <w:widowControl w:val="0"/>
              <w:jc w:val="center"/>
              <w:rPr>
                <w:rFonts w:hint="eastAsia" w:ascii="仿宋_GB2312" w:hAnsi="仿宋_GB2312" w:eastAsia="仿宋_GB2312" w:cs="仿宋_GB2312"/>
                <w:color w:val="auto"/>
                <w:sz w:val="22"/>
                <w:szCs w:val="22"/>
                <w:highlight w:val="none"/>
                <w:lang w:val="en-US" w:eastAsia="zh-CN"/>
              </w:rPr>
            </w:pPr>
            <w:r>
              <w:rPr>
                <w:rFonts w:hint="eastAsia" w:ascii="仿宋_GB2312" w:hAnsi="仿宋_GB2312" w:eastAsia="仿宋_GB2312" w:cs="仿宋_GB2312"/>
                <w:color w:val="auto"/>
                <w:sz w:val="22"/>
                <w:szCs w:val="22"/>
                <w:highlight w:val="none"/>
                <w:lang w:val="en-US" w:eastAsia="zh-CN"/>
              </w:rPr>
              <w:t>110.5</w:t>
            </w:r>
          </w:p>
        </w:tc>
        <w:tc>
          <w:tcPr>
            <w:tcW w:w="1312" w:type="pct"/>
            <w:vMerge w:val="continue"/>
          </w:tcPr>
          <w:p>
            <w:pPr>
              <w:pStyle w:val="17"/>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877" w:type="pct"/>
            <w:vAlign w:val="center"/>
          </w:tcPr>
          <w:p>
            <w:pPr>
              <w:pStyle w:val="40"/>
              <w:widowControl w:val="0"/>
              <w:jc w:val="center"/>
              <w:rPr>
                <w:rStyle w:val="44"/>
                <w:rFonts w:hint="default" w:ascii="Times New Roman" w:hAnsi="Times New Roman" w:eastAsia="宋体" w:cs="Times New Roman"/>
                <w:color w:val="auto"/>
                <w:spacing w:val="0"/>
                <w:sz w:val="22"/>
                <w:szCs w:val="22"/>
                <w:highlight w:val="none"/>
                <w:vertAlign w:val="baseline"/>
                <w:lang w:val="en-US" w:eastAsia="zh-CN"/>
              </w:rPr>
            </w:pPr>
            <w:r>
              <w:rPr>
                <w:color w:val="auto"/>
                <w:highlight w:val="none"/>
              </w:rPr>
              <w:t>最大下泄流量</w:t>
            </w:r>
          </w:p>
        </w:tc>
        <w:tc>
          <w:tcPr>
            <w:tcW w:w="528" w:type="pct"/>
            <w:vAlign w:val="center"/>
          </w:tcPr>
          <w:p>
            <w:pPr>
              <w:pStyle w:val="40"/>
              <w:widowControl w:val="0"/>
              <w:jc w:val="center"/>
              <w:rPr>
                <w:rStyle w:val="44"/>
                <w:rFonts w:hint="default" w:ascii="Times New Roman" w:hAnsi="Times New Roman" w:eastAsia="宋体" w:cs="Times New Roman"/>
                <w:color w:val="auto"/>
                <w:spacing w:val="0"/>
                <w:sz w:val="22"/>
                <w:szCs w:val="22"/>
                <w:highlight w:val="none"/>
                <w:vertAlign w:val="baseline"/>
                <w:lang w:val="en-US" w:eastAsia="zh-CN"/>
              </w:rPr>
            </w:pPr>
            <w:r>
              <w:rPr>
                <w:color w:val="auto"/>
                <w:highlight w:val="none"/>
              </w:rPr>
              <w:t>m³/s</w:t>
            </w:r>
          </w:p>
        </w:tc>
        <w:tc>
          <w:tcPr>
            <w:tcW w:w="2670" w:type="dxa"/>
            <w:vAlign w:val="center"/>
          </w:tcPr>
          <w:p>
            <w:pPr>
              <w:pStyle w:val="40"/>
              <w:widowControl w:val="0"/>
              <w:jc w:val="center"/>
              <w:rPr>
                <w:rFonts w:hint="eastAsia" w:ascii="仿宋_GB2312" w:hAnsi="仿宋_GB2312" w:eastAsia="仿宋_GB2312" w:cs="仿宋_GB2312"/>
                <w:color w:val="auto"/>
                <w:sz w:val="22"/>
                <w:szCs w:val="22"/>
                <w:highlight w:val="none"/>
                <w:lang w:val="en-US" w:eastAsia="zh-CN"/>
              </w:rPr>
            </w:pPr>
            <w:r>
              <w:rPr>
                <w:rFonts w:hint="eastAsia" w:ascii="仿宋_GB2312" w:hAnsi="仿宋_GB2312" w:eastAsia="仿宋_GB2312" w:cs="仿宋_GB2312"/>
                <w:color w:val="auto"/>
                <w:sz w:val="22"/>
                <w:szCs w:val="22"/>
                <w:highlight w:val="none"/>
                <w:lang w:val="en-US" w:eastAsia="zh-CN"/>
              </w:rPr>
              <w:t>216.3</w:t>
            </w:r>
          </w:p>
        </w:tc>
        <w:tc>
          <w:tcPr>
            <w:tcW w:w="1312" w:type="pct"/>
            <w:vMerge w:val="continue"/>
          </w:tcPr>
          <w:p>
            <w:pPr>
              <w:pStyle w:val="17"/>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77" w:type="pct"/>
          </w:tcPr>
          <w:p>
            <w:pPr>
              <w:pStyle w:val="17"/>
              <w:keepNext w:val="0"/>
              <w:keepLines w:val="0"/>
              <w:pageBreakBefore w:val="0"/>
              <w:widowControl w:val="0"/>
              <w:kinsoku/>
              <w:wordWrap/>
              <w:overflowPunct/>
              <w:topLinePunct w:val="0"/>
              <w:autoSpaceDE/>
              <w:autoSpaceDN/>
              <w:bidi w:val="0"/>
              <w:adjustRightInd/>
              <w:snapToGrid/>
              <w:jc w:val="left"/>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r>
              <w:rPr>
                <w:rStyle w:val="44"/>
                <w:rFonts w:hint="eastAsia" w:eastAsia="宋体" w:cs="Times New Roman"/>
                <w:color w:val="auto"/>
                <w:spacing w:val="0"/>
                <w:sz w:val="22"/>
                <w:szCs w:val="22"/>
                <w:highlight w:val="none"/>
                <w:vertAlign w:val="baseline"/>
                <w:lang w:val="en-US" w:eastAsia="zh-CN"/>
              </w:rPr>
              <w:t>6</w:t>
            </w:r>
            <w:r>
              <w:rPr>
                <w:rStyle w:val="44"/>
                <w:rFonts w:hint="default" w:ascii="Times New Roman" w:hAnsi="Times New Roman" w:eastAsia="宋体" w:cs="Times New Roman"/>
                <w:color w:val="auto"/>
                <w:spacing w:val="0"/>
                <w:sz w:val="22"/>
                <w:szCs w:val="22"/>
                <w:highlight w:val="none"/>
                <w:vertAlign w:val="baseline"/>
                <w:lang w:val="en-US" w:eastAsia="zh-CN"/>
              </w:rPr>
              <w:t>.泥沙</w:t>
            </w:r>
          </w:p>
        </w:tc>
        <w:tc>
          <w:tcPr>
            <w:tcW w:w="528" w:type="pct"/>
          </w:tcPr>
          <w:p>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p>
        </w:tc>
        <w:tc>
          <w:tcPr>
            <w:tcW w:w="1281" w:type="pct"/>
          </w:tcPr>
          <w:p>
            <w:pPr>
              <w:pStyle w:val="17"/>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Style w:val="44"/>
                <w:rFonts w:hint="eastAsia" w:ascii="仿宋_GB2312" w:hAnsi="仿宋_GB2312" w:eastAsia="仿宋_GB2312" w:cs="仿宋_GB2312"/>
                <w:color w:val="auto"/>
                <w:spacing w:val="0"/>
                <w:sz w:val="22"/>
                <w:szCs w:val="22"/>
                <w:highlight w:val="none"/>
                <w:vertAlign w:val="baseline"/>
                <w:lang w:val="en-US" w:eastAsia="zh-CN"/>
              </w:rPr>
            </w:pPr>
          </w:p>
        </w:tc>
        <w:tc>
          <w:tcPr>
            <w:tcW w:w="1312" w:type="pct"/>
          </w:tcPr>
          <w:p>
            <w:pPr>
              <w:pStyle w:val="17"/>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7" w:type="pct"/>
          </w:tcPr>
          <w:p>
            <w:pPr>
              <w:pStyle w:val="17"/>
              <w:keepNext w:val="0"/>
              <w:keepLines w:val="0"/>
              <w:pageBreakBefore w:val="0"/>
              <w:widowControl w:val="0"/>
              <w:kinsoku/>
              <w:wordWrap/>
              <w:overflowPunct/>
              <w:topLinePunct w:val="0"/>
              <w:autoSpaceDE/>
              <w:autoSpaceDN/>
              <w:bidi w:val="0"/>
              <w:adjustRightInd/>
              <w:snapToGrid/>
              <w:ind w:left="240" w:leftChars="100" w:firstLine="0" w:firstLineChars="0"/>
              <w:jc w:val="left"/>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r>
              <w:rPr>
                <w:rStyle w:val="44"/>
                <w:rFonts w:hint="default" w:ascii="Times New Roman" w:hAnsi="Times New Roman" w:eastAsia="宋体" w:cs="Times New Roman"/>
                <w:color w:val="auto"/>
                <w:spacing w:val="0"/>
                <w:sz w:val="22"/>
                <w:szCs w:val="22"/>
                <w:highlight w:val="none"/>
                <w:vertAlign w:val="baseline"/>
                <w:lang w:val="en-US" w:eastAsia="zh-CN"/>
              </w:rPr>
              <w:t>多年平均悬移质年输沙量</w:t>
            </w:r>
          </w:p>
        </w:tc>
        <w:tc>
          <w:tcPr>
            <w:tcW w:w="528" w:type="pct"/>
          </w:tcPr>
          <w:p>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r>
              <w:rPr>
                <w:rStyle w:val="44"/>
                <w:rFonts w:hint="default" w:ascii="Times New Roman" w:hAnsi="Times New Roman" w:eastAsia="宋体" w:cs="Times New Roman"/>
                <w:color w:val="auto"/>
                <w:spacing w:val="0"/>
                <w:sz w:val="22"/>
                <w:szCs w:val="22"/>
                <w:highlight w:val="none"/>
                <w:vertAlign w:val="baseline"/>
                <w:lang w:val="en-US" w:eastAsia="zh-CN"/>
              </w:rPr>
              <w:t>万t</w:t>
            </w:r>
          </w:p>
        </w:tc>
        <w:tc>
          <w:tcPr>
            <w:tcW w:w="1281" w:type="pct"/>
          </w:tcPr>
          <w:p>
            <w:pPr>
              <w:pStyle w:val="17"/>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Style w:val="44"/>
                <w:rFonts w:hint="eastAsia" w:ascii="仿宋_GB2312" w:hAnsi="仿宋_GB2312" w:eastAsia="仿宋_GB2312" w:cs="仿宋_GB2312"/>
                <w:color w:val="auto"/>
                <w:spacing w:val="0"/>
                <w:sz w:val="22"/>
                <w:szCs w:val="22"/>
                <w:highlight w:val="none"/>
                <w:vertAlign w:val="baseline"/>
                <w:lang w:val="en-US" w:eastAsia="zh-CN"/>
              </w:rPr>
            </w:pPr>
            <w:r>
              <w:rPr>
                <w:rStyle w:val="44"/>
                <w:rFonts w:hint="eastAsia" w:ascii="仿宋_GB2312" w:hAnsi="仿宋_GB2312" w:eastAsia="仿宋_GB2312" w:cs="仿宋_GB2312"/>
                <w:color w:val="auto"/>
                <w:spacing w:val="0"/>
                <w:sz w:val="22"/>
                <w:szCs w:val="22"/>
                <w:highlight w:val="none"/>
                <w:vertAlign w:val="baseline"/>
                <w:lang w:val="en-US" w:eastAsia="zh-CN"/>
              </w:rPr>
              <w:t>686</w:t>
            </w:r>
          </w:p>
        </w:tc>
        <w:tc>
          <w:tcPr>
            <w:tcW w:w="1312" w:type="pct"/>
          </w:tcPr>
          <w:p>
            <w:pPr>
              <w:pStyle w:val="17"/>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7" w:type="pct"/>
          </w:tcPr>
          <w:p>
            <w:pPr>
              <w:pStyle w:val="17"/>
              <w:keepNext w:val="0"/>
              <w:keepLines w:val="0"/>
              <w:pageBreakBefore w:val="0"/>
              <w:widowControl w:val="0"/>
              <w:kinsoku/>
              <w:wordWrap/>
              <w:overflowPunct/>
              <w:topLinePunct w:val="0"/>
              <w:autoSpaceDE/>
              <w:autoSpaceDN/>
              <w:bidi w:val="0"/>
              <w:adjustRightInd/>
              <w:snapToGrid/>
              <w:ind w:left="240" w:leftChars="100" w:firstLine="0" w:firstLineChars="0"/>
              <w:jc w:val="left"/>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r>
              <w:rPr>
                <w:rStyle w:val="44"/>
                <w:rFonts w:hint="default" w:ascii="Times New Roman" w:hAnsi="Times New Roman" w:eastAsia="宋体" w:cs="Times New Roman"/>
                <w:color w:val="auto"/>
                <w:spacing w:val="0"/>
                <w:sz w:val="22"/>
                <w:szCs w:val="22"/>
                <w:highlight w:val="none"/>
                <w:vertAlign w:val="baseline"/>
                <w:lang w:val="en-US" w:eastAsia="zh-CN"/>
              </w:rPr>
              <w:t>多年平均推移质年输沙量</w:t>
            </w:r>
          </w:p>
        </w:tc>
        <w:tc>
          <w:tcPr>
            <w:tcW w:w="528" w:type="pct"/>
          </w:tcPr>
          <w:p>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r>
              <w:rPr>
                <w:rStyle w:val="44"/>
                <w:rFonts w:hint="default" w:ascii="Times New Roman" w:hAnsi="Times New Roman" w:eastAsia="宋体" w:cs="Times New Roman"/>
                <w:color w:val="auto"/>
                <w:spacing w:val="0"/>
                <w:sz w:val="22"/>
                <w:szCs w:val="22"/>
                <w:highlight w:val="none"/>
                <w:vertAlign w:val="baseline"/>
                <w:lang w:val="en-US" w:eastAsia="zh-CN"/>
              </w:rPr>
              <w:t>万t</w:t>
            </w:r>
          </w:p>
        </w:tc>
        <w:tc>
          <w:tcPr>
            <w:tcW w:w="1281" w:type="pct"/>
          </w:tcPr>
          <w:p>
            <w:pPr>
              <w:pStyle w:val="17"/>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Style w:val="44"/>
                <w:rFonts w:hint="eastAsia" w:ascii="仿宋_GB2312" w:hAnsi="仿宋_GB2312" w:eastAsia="仿宋_GB2312" w:cs="仿宋_GB2312"/>
                <w:color w:val="auto"/>
                <w:spacing w:val="0"/>
                <w:sz w:val="22"/>
                <w:szCs w:val="22"/>
                <w:highlight w:val="none"/>
                <w:vertAlign w:val="baseline"/>
                <w:lang w:val="en-US" w:eastAsia="zh-CN"/>
              </w:rPr>
            </w:pPr>
            <w:r>
              <w:rPr>
                <w:rStyle w:val="44"/>
                <w:rFonts w:hint="eastAsia" w:ascii="仿宋_GB2312" w:hAnsi="仿宋_GB2312" w:eastAsia="仿宋_GB2312" w:cs="仿宋_GB2312"/>
                <w:color w:val="auto"/>
                <w:spacing w:val="0"/>
                <w:sz w:val="22"/>
                <w:szCs w:val="22"/>
                <w:highlight w:val="none"/>
                <w:vertAlign w:val="baseline"/>
                <w:lang w:val="en-US" w:eastAsia="zh-CN"/>
              </w:rPr>
              <w:t>137.2</w:t>
            </w:r>
          </w:p>
        </w:tc>
        <w:tc>
          <w:tcPr>
            <w:tcW w:w="1312" w:type="pct"/>
          </w:tcPr>
          <w:p>
            <w:pPr>
              <w:pStyle w:val="17"/>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7" w:type="pct"/>
          </w:tcPr>
          <w:p>
            <w:pPr>
              <w:pStyle w:val="17"/>
              <w:keepNext w:val="0"/>
              <w:keepLines w:val="0"/>
              <w:pageBreakBefore w:val="0"/>
              <w:widowControl w:val="0"/>
              <w:kinsoku/>
              <w:wordWrap/>
              <w:overflowPunct/>
              <w:topLinePunct w:val="0"/>
              <w:autoSpaceDE/>
              <w:autoSpaceDN/>
              <w:bidi w:val="0"/>
              <w:adjustRightInd/>
              <w:snapToGrid/>
              <w:ind w:left="240" w:leftChars="100" w:firstLine="0" w:firstLineChars="0"/>
              <w:jc w:val="left"/>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r>
              <w:rPr>
                <w:rStyle w:val="44"/>
                <w:rFonts w:hint="default" w:ascii="Times New Roman" w:hAnsi="Times New Roman" w:eastAsia="宋体" w:cs="Times New Roman"/>
                <w:color w:val="auto"/>
                <w:spacing w:val="0"/>
                <w:sz w:val="22"/>
                <w:szCs w:val="22"/>
                <w:highlight w:val="none"/>
                <w:vertAlign w:val="baseline"/>
                <w:lang w:val="en-US" w:eastAsia="zh-CN"/>
              </w:rPr>
              <w:t>多年平均含沙量</w:t>
            </w:r>
          </w:p>
        </w:tc>
        <w:tc>
          <w:tcPr>
            <w:tcW w:w="528" w:type="pct"/>
          </w:tcPr>
          <w:p>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r>
              <w:rPr>
                <w:rStyle w:val="44"/>
                <w:rFonts w:hint="default" w:ascii="Times New Roman" w:hAnsi="Times New Roman" w:eastAsia="宋体" w:cs="Times New Roman"/>
                <w:color w:val="auto"/>
                <w:spacing w:val="0"/>
                <w:sz w:val="22"/>
                <w:szCs w:val="22"/>
                <w:highlight w:val="none"/>
                <w:vertAlign w:val="baseline"/>
                <w:lang w:val="en-US" w:eastAsia="zh-CN"/>
              </w:rPr>
              <w:t>kg/m</w:t>
            </w:r>
            <w:r>
              <w:rPr>
                <w:rStyle w:val="44"/>
                <w:rFonts w:hint="default" w:ascii="Times New Roman" w:hAnsi="Times New Roman" w:eastAsia="宋体" w:cs="Times New Roman"/>
                <w:color w:val="auto"/>
                <w:spacing w:val="0"/>
                <w:sz w:val="22"/>
                <w:szCs w:val="22"/>
                <w:highlight w:val="none"/>
                <w:vertAlign w:val="superscript"/>
                <w:lang w:val="en-US" w:eastAsia="zh-CN"/>
              </w:rPr>
              <w:t>3</w:t>
            </w:r>
          </w:p>
        </w:tc>
        <w:tc>
          <w:tcPr>
            <w:tcW w:w="1281" w:type="pct"/>
          </w:tcPr>
          <w:p>
            <w:pPr>
              <w:pStyle w:val="17"/>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Style w:val="44"/>
                <w:rFonts w:hint="eastAsia" w:ascii="仿宋_GB2312" w:hAnsi="仿宋_GB2312" w:eastAsia="仿宋_GB2312" w:cs="仿宋_GB2312"/>
                <w:color w:val="auto"/>
                <w:spacing w:val="0"/>
                <w:sz w:val="22"/>
                <w:szCs w:val="22"/>
                <w:highlight w:val="none"/>
                <w:vertAlign w:val="baseline"/>
                <w:lang w:val="en-US" w:eastAsia="zh-CN"/>
              </w:rPr>
            </w:pPr>
            <w:r>
              <w:rPr>
                <w:rStyle w:val="44"/>
                <w:rFonts w:hint="eastAsia" w:ascii="仿宋_GB2312" w:hAnsi="仿宋_GB2312" w:eastAsia="仿宋_GB2312" w:cs="仿宋_GB2312"/>
                <w:color w:val="auto"/>
                <w:spacing w:val="0"/>
                <w:sz w:val="22"/>
                <w:szCs w:val="22"/>
                <w:highlight w:val="none"/>
                <w:vertAlign w:val="baseline"/>
                <w:lang w:val="en-US" w:eastAsia="zh-CN"/>
              </w:rPr>
              <w:t>0.29</w:t>
            </w:r>
          </w:p>
        </w:tc>
        <w:tc>
          <w:tcPr>
            <w:tcW w:w="1312" w:type="pct"/>
          </w:tcPr>
          <w:p>
            <w:pPr>
              <w:pStyle w:val="17"/>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77" w:type="pct"/>
          </w:tcPr>
          <w:p>
            <w:pPr>
              <w:pStyle w:val="17"/>
              <w:keepNext w:val="0"/>
              <w:keepLines w:val="0"/>
              <w:pageBreakBefore w:val="0"/>
              <w:widowControl w:val="0"/>
              <w:kinsoku/>
              <w:wordWrap/>
              <w:overflowPunct/>
              <w:topLinePunct w:val="0"/>
              <w:autoSpaceDE/>
              <w:autoSpaceDN/>
              <w:bidi w:val="0"/>
              <w:adjustRightInd/>
              <w:snapToGrid/>
              <w:jc w:val="left"/>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r>
              <w:rPr>
                <w:rStyle w:val="44"/>
                <w:rFonts w:hint="eastAsia" w:eastAsia="宋体" w:cs="Times New Roman"/>
                <w:b/>
                <w:bCs/>
                <w:color w:val="auto"/>
                <w:spacing w:val="0"/>
                <w:sz w:val="22"/>
                <w:szCs w:val="22"/>
                <w:highlight w:val="none"/>
                <w:vertAlign w:val="baseline"/>
                <w:lang w:val="en-US" w:eastAsia="zh-CN"/>
              </w:rPr>
              <w:t>二、工程任务与规模</w:t>
            </w:r>
          </w:p>
        </w:tc>
        <w:tc>
          <w:tcPr>
            <w:tcW w:w="528" w:type="pct"/>
          </w:tcPr>
          <w:p>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p>
        </w:tc>
        <w:tc>
          <w:tcPr>
            <w:tcW w:w="1281" w:type="pct"/>
          </w:tcPr>
          <w:p>
            <w:pPr>
              <w:pStyle w:val="17"/>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Style w:val="44"/>
                <w:rFonts w:hint="eastAsia" w:ascii="仿宋_GB2312" w:hAnsi="仿宋_GB2312" w:eastAsia="仿宋_GB2312" w:cs="仿宋_GB2312"/>
                <w:color w:val="auto"/>
                <w:spacing w:val="0"/>
                <w:sz w:val="22"/>
                <w:szCs w:val="22"/>
                <w:highlight w:val="none"/>
                <w:vertAlign w:val="baseline"/>
                <w:lang w:val="en-US" w:eastAsia="zh-CN"/>
              </w:rPr>
            </w:pPr>
          </w:p>
        </w:tc>
        <w:tc>
          <w:tcPr>
            <w:tcW w:w="1312" w:type="pct"/>
          </w:tcPr>
          <w:p>
            <w:pPr>
              <w:pStyle w:val="17"/>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7" w:type="pct"/>
          </w:tcPr>
          <w:p>
            <w:pPr>
              <w:pStyle w:val="17"/>
              <w:keepNext w:val="0"/>
              <w:keepLines w:val="0"/>
              <w:pageBreakBefore w:val="0"/>
              <w:widowControl w:val="0"/>
              <w:kinsoku/>
              <w:wordWrap/>
              <w:overflowPunct/>
              <w:topLinePunct w:val="0"/>
              <w:autoSpaceDE/>
              <w:autoSpaceDN/>
              <w:bidi w:val="0"/>
              <w:adjustRightInd/>
              <w:snapToGrid/>
              <w:ind w:left="0" w:firstLine="440" w:firstLineChars="200"/>
              <w:jc w:val="left"/>
              <w:textAlignment w:val="auto"/>
              <w:rPr>
                <w:rStyle w:val="44"/>
                <w:rFonts w:hint="eastAsia" w:eastAsia="宋体" w:cs="Times New Roman"/>
                <w:color w:val="auto"/>
                <w:spacing w:val="0"/>
                <w:sz w:val="22"/>
                <w:szCs w:val="22"/>
                <w:highlight w:val="none"/>
                <w:vertAlign w:val="baseline"/>
                <w:lang w:val="en-US" w:eastAsia="zh-CN"/>
              </w:rPr>
            </w:pPr>
            <w:r>
              <w:rPr>
                <w:rStyle w:val="44"/>
                <w:rFonts w:hint="eastAsia" w:ascii="Times New Roman" w:hAnsi="Times New Roman" w:eastAsia="宋体" w:cs="Times New Roman"/>
                <w:color w:val="auto"/>
                <w:spacing w:val="0"/>
                <w:sz w:val="22"/>
                <w:szCs w:val="22"/>
                <w:highlight w:val="none"/>
                <w:vertAlign w:val="baseline"/>
                <w:lang w:val="en-US" w:eastAsia="zh-CN"/>
              </w:rPr>
              <w:t>水库规模</w:t>
            </w:r>
          </w:p>
        </w:tc>
        <w:tc>
          <w:tcPr>
            <w:tcW w:w="528" w:type="pct"/>
          </w:tcPr>
          <w:p>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p>
        </w:tc>
        <w:tc>
          <w:tcPr>
            <w:tcW w:w="1281" w:type="pct"/>
          </w:tcPr>
          <w:p>
            <w:pPr>
              <w:pStyle w:val="17"/>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Style w:val="44"/>
                <w:rFonts w:hint="eastAsia" w:ascii="仿宋_GB2312" w:hAnsi="仿宋_GB2312" w:eastAsia="仿宋_GB2312" w:cs="仿宋_GB2312"/>
                <w:color w:val="auto"/>
                <w:spacing w:val="0"/>
                <w:sz w:val="22"/>
                <w:szCs w:val="22"/>
                <w:highlight w:val="none"/>
                <w:vertAlign w:val="baseline"/>
                <w:lang w:val="en-US" w:eastAsia="zh-CN"/>
              </w:rPr>
            </w:pPr>
          </w:p>
        </w:tc>
        <w:tc>
          <w:tcPr>
            <w:tcW w:w="1312" w:type="pct"/>
          </w:tcPr>
          <w:p>
            <w:pPr>
              <w:pStyle w:val="17"/>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r>
              <w:rPr>
                <w:rStyle w:val="44"/>
                <w:rFonts w:hint="eastAsia" w:eastAsia="宋体" w:cs="Times New Roman"/>
                <w:color w:val="auto"/>
                <w:spacing w:val="0"/>
                <w:sz w:val="22"/>
                <w:szCs w:val="22"/>
                <w:highlight w:val="none"/>
                <w:vertAlign w:val="baseline"/>
                <w:lang w:val="en-US" w:eastAsia="zh-CN"/>
              </w:rPr>
              <w:t>小（1）型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7" w:type="pct"/>
          </w:tcPr>
          <w:p>
            <w:pPr>
              <w:pStyle w:val="17"/>
              <w:keepNext w:val="0"/>
              <w:keepLines w:val="0"/>
              <w:pageBreakBefore w:val="0"/>
              <w:widowControl w:val="0"/>
              <w:kinsoku/>
              <w:wordWrap/>
              <w:overflowPunct/>
              <w:topLinePunct w:val="0"/>
              <w:autoSpaceDE/>
              <w:autoSpaceDN/>
              <w:bidi w:val="0"/>
              <w:adjustRightInd/>
              <w:snapToGrid/>
              <w:ind w:left="0" w:firstLine="440" w:firstLineChars="200"/>
              <w:jc w:val="left"/>
              <w:textAlignment w:val="auto"/>
              <w:rPr>
                <w:rStyle w:val="44"/>
                <w:rFonts w:hint="eastAsia" w:ascii="Times New Roman" w:hAnsi="Times New Roman" w:eastAsia="宋体" w:cs="Times New Roman"/>
                <w:color w:val="auto"/>
                <w:spacing w:val="0"/>
                <w:sz w:val="22"/>
                <w:szCs w:val="22"/>
                <w:highlight w:val="none"/>
                <w:vertAlign w:val="baseline"/>
                <w:lang w:val="en-US" w:eastAsia="zh-CN"/>
              </w:rPr>
            </w:pPr>
            <w:r>
              <w:rPr>
                <w:rStyle w:val="44"/>
                <w:rFonts w:hint="eastAsia" w:ascii="Times New Roman" w:hAnsi="Times New Roman" w:eastAsia="宋体" w:cs="Times New Roman"/>
                <w:color w:val="auto"/>
                <w:spacing w:val="0"/>
                <w:sz w:val="22"/>
                <w:szCs w:val="22"/>
                <w:highlight w:val="none"/>
                <w:vertAlign w:val="baseline"/>
                <w:lang w:val="en-US" w:eastAsia="zh-CN"/>
              </w:rPr>
              <w:t>工程等别</w:t>
            </w:r>
          </w:p>
        </w:tc>
        <w:tc>
          <w:tcPr>
            <w:tcW w:w="528" w:type="pct"/>
          </w:tcPr>
          <w:p>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p>
        </w:tc>
        <w:tc>
          <w:tcPr>
            <w:tcW w:w="1281" w:type="pct"/>
          </w:tcPr>
          <w:p>
            <w:pPr>
              <w:pStyle w:val="17"/>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Style w:val="44"/>
                <w:rFonts w:hint="eastAsia" w:ascii="仿宋_GB2312" w:hAnsi="仿宋_GB2312" w:eastAsia="仿宋_GB2312" w:cs="仿宋_GB2312"/>
                <w:color w:val="auto"/>
                <w:spacing w:val="0"/>
                <w:sz w:val="22"/>
                <w:szCs w:val="22"/>
                <w:highlight w:val="none"/>
                <w:vertAlign w:val="baseline"/>
                <w:lang w:val="en-US" w:eastAsia="zh-CN"/>
              </w:rPr>
            </w:pPr>
          </w:p>
        </w:tc>
        <w:tc>
          <w:tcPr>
            <w:tcW w:w="1312" w:type="pct"/>
          </w:tcPr>
          <w:p>
            <w:pPr>
              <w:pStyle w:val="17"/>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Style w:val="44"/>
                <w:rFonts w:hint="eastAsia" w:eastAsia="宋体" w:cs="Times New Roman"/>
                <w:color w:val="auto"/>
                <w:spacing w:val="0"/>
                <w:sz w:val="22"/>
                <w:szCs w:val="22"/>
                <w:highlight w:val="none"/>
                <w:vertAlign w:val="baseline"/>
                <w:lang w:val="en-US" w:eastAsia="zh-CN"/>
              </w:rPr>
            </w:pPr>
            <w:r>
              <w:rPr>
                <w:rStyle w:val="44"/>
                <w:rFonts w:hint="eastAsia" w:eastAsia="宋体" w:cs="Times New Roman"/>
                <w:color w:val="auto"/>
                <w:spacing w:val="0"/>
                <w:sz w:val="22"/>
                <w:szCs w:val="22"/>
                <w:highlight w:val="none"/>
                <w:vertAlign w:val="baseline"/>
                <w:lang w:val="en-US" w:eastAsia="zh-CN"/>
              </w:rPr>
              <w:t>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7" w:type="pct"/>
          </w:tcPr>
          <w:p>
            <w:pPr>
              <w:pStyle w:val="17"/>
              <w:keepNext w:val="0"/>
              <w:keepLines w:val="0"/>
              <w:pageBreakBefore w:val="0"/>
              <w:widowControl w:val="0"/>
              <w:kinsoku/>
              <w:wordWrap/>
              <w:overflowPunct/>
              <w:topLinePunct w:val="0"/>
              <w:autoSpaceDE/>
              <w:autoSpaceDN/>
              <w:bidi w:val="0"/>
              <w:adjustRightInd/>
              <w:snapToGrid/>
              <w:ind w:left="0" w:firstLine="440" w:firstLineChars="200"/>
              <w:jc w:val="left"/>
              <w:textAlignment w:val="auto"/>
              <w:rPr>
                <w:rStyle w:val="44"/>
                <w:rFonts w:hint="eastAsia" w:ascii="Times New Roman" w:hAnsi="Times New Roman" w:eastAsia="宋体" w:cs="Times New Roman"/>
                <w:color w:val="auto"/>
                <w:spacing w:val="0"/>
                <w:sz w:val="22"/>
                <w:szCs w:val="22"/>
                <w:highlight w:val="none"/>
                <w:vertAlign w:val="baseline"/>
                <w:lang w:val="en-US" w:eastAsia="zh-CN"/>
              </w:rPr>
            </w:pPr>
            <w:r>
              <w:rPr>
                <w:rStyle w:val="44"/>
                <w:rFonts w:hint="eastAsia" w:ascii="Times New Roman" w:hAnsi="Times New Roman" w:eastAsia="宋体" w:cs="Times New Roman"/>
                <w:color w:val="auto"/>
                <w:spacing w:val="0"/>
                <w:sz w:val="22"/>
                <w:szCs w:val="22"/>
                <w:highlight w:val="none"/>
                <w:vertAlign w:val="baseline"/>
                <w:lang w:val="en-US" w:eastAsia="zh-CN"/>
              </w:rPr>
              <w:t>主要建筑物等别</w:t>
            </w:r>
          </w:p>
        </w:tc>
        <w:tc>
          <w:tcPr>
            <w:tcW w:w="528" w:type="pct"/>
          </w:tcPr>
          <w:p>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p>
        </w:tc>
        <w:tc>
          <w:tcPr>
            <w:tcW w:w="1281" w:type="pct"/>
          </w:tcPr>
          <w:p>
            <w:pPr>
              <w:pStyle w:val="17"/>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Style w:val="44"/>
                <w:rFonts w:hint="eastAsia" w:ascii="仿宋_GB2312" w:hAnsi="仿宋_GB2312" w:eastAsia="仿宋_GB2312" w:cs="仿宋_GB2312"/>
                <w:color w:val="auto"/>
                <w:spacing w:val="0"/>
                <w:sz w:val="22"/>
                <w:szCs w:val="22"/>
                <w:highlight w:val="none"/>
                <w:vertAlign w:val="baseline"/>
                <w:lang w:val="en-US" w:eastAsia="zh-CN"/>
              </w:rPr>
            </w:pPr>
          </w:p>
        </w:tc>
        <w:tc>
          <w:tcPr>
            <w:tcW w:w="1312" w:type="pct"/>
          </w:tcPr>
          <w:p>
            <w:pPr>
              <w:pStyle w:val="17"/>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Style w:val="44"/>
                <w:rFonts w:hint="default" w:eastAsia="宋体" w:cs="Times New Roman"/>
                <w:color w:val="auto"/>
                <w:spacing w:val="0"/>
                <w:sz w:val="22"/>
                <w:szCs w:val="22"/>
                <w:highlight w:val="none"/>
                <w:vertAlign w:val="baseline"/>
                <w:lang w:val="en-US" w:eastAsia="zh-CN"/>
              </w:rPr>
            </w:pPr>
            <w:r>
              <w:rPr>
                <w:rStyle w:val="44"/>
                <w:rFonts w:hint="eastAsia" w:eastAsia="宋体" w:cs="Times New Roman"/>
                <w:color w:val="auto"/>
                <w:spacing w:val="0"/>
                <w:sz w:val="22"/>
                <w:szCs w:val="22"/>
                <w:highlight w:val="none"/>
                <w:vertAlign w:val="baseline"/>
                <w:lang w:val="en-US" w:eastAsia="zh-CN"/>
              </w:rPr>
              <w:t>4级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77" w:type="pct"/>
          </w:tcPr>
          <w:p>
            <w:pPr>
              <w:pStyle w:val="17"/>
              <w:keepNext w:val="0"/>
              <w:keepLines w:val="0"/>
              <w:pageBreakBefore w:val="0"/>
              <w:widowControl w:val="0"/>
              <w:kinsoku/>
              <w:wordWrap/>
              <w:overflowPunct/>
              <w:topLinePunct w:val="0"/>
              <w:autoSpaceDE/>
              <w:autoSpaceDN/>
              <w:bidi w:val="0"/>
              <w:adjustRightInd/>
              <w:snapToGrid/>
              <w:ind w:left="0" w:firstLine="440" w:firstLineChars="200"/>
              <w:jc w:val="left"/>
              <w:textAlignment w:val="auto"/>
              <w:rPr>
                <w:rStyle w:val="44"/>
                <w:rFonts w:hint="eastAsia" w:ascii="Times New Roman" w:hAnsi="Times New Roman" w:eastAsia="宋体" w:cs="Times New Roman"/>
                <w:color w:val="auto"/>
                <w:spacing w:val="0"/>
                <w:sz w:val="22"/>
                <w:szCs w:val="22"/>
                <w:highlight w:val="none"/>
                <w:vertAlign w:val="baseline"/>
                <w:lang w:val="en-US" w:eastAsia="zh-CN"/>
              </w:rPr>
            </w:pPr>
            <w:r>
              <w:rPr>
                <w:rStyle w:val="44"/>
                <w:rFonts w:hint="eastAsia" w:ascii="Times New Roman" w:hAnsi="Times New Roman" w:eastAsia="宋体" w:cs="Times New Roman"/>
                <w:color w:val="auto"/>
                <w:spacing w:val="0"/>
                <w:sz w:val="22"/>
                <w:szCs w:val="22"/>
                <w:highlight w:val="none"/>
                <w:vertAlign w:val="baseline"/>
                <w:lang w:val="en-US" w:eastAsia="zh-CN"/>
              </w:rPr>
              <w:t>次要建筑物等别</w:t>
            </w:r>
          </w:p>
        </w:tc>
        <w:tc>
          <w:tcPr>
            <w:tcW w:w="528" w:type="pct"/>
          </w:tcPr>
          <w:p>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p>
        </w:tc>
        <w:tc>
          <w:tcPr>
            <w:tcW w:w="1281" w:type="pct"/>
          </w:tcPr>
          <w:p>
            <w:pPr>
              <w:pStyle w:val="17"/>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Style w:val="44"/>
                <w:rFonts w:hint="eastAsia" w:ascii="仿宋_GB2312" w:hAnsi="仿宋_GB2312" w:eastAsia="仿宋_GB2312" w:cs="仿宋_GB2312"/>
                <w:color w:val="auto"/>
                <w:spacing w:val="0"/>
                <w:sz w:val="22"/>
                <w:szCs w:val="22"/>
                <w:highlight w:val="none"/>
                <w:vertAlign w:val="baseline"/>
                <w:lang w:val="en-US" w:eastAsia="zh-CN"/>
              </w:rPr>
            </w:pPr>
          </w:p>
        </w:tc>
        <w:tc>
          <w:tcPr>
            <w:tcW w:w="1312" w:type="pct"/>
          </w:tcPr>
          <w:p>
            <w:pPr>
              <w:pStyle w:val="17"/>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Style w:val="44"/>
                <w:rFonts w:hint="default" w:eastAsia="宋体" w:cs="Times New Roman"/>
                <w:color w:val="auto"/>
                <w:spacing w:val="0"/>
                <w:sz w:val="22"/>
                <w:szCs w:val="22"/>
                <w:highlight w:val="none"/>
                <w:vertAlign w:val="baseline"/>
                <w:lang w:val="en-US" w:eastAsia="zh-CN"/>
              </w:rPr>
            </w:pPr>
            <w:r>
              <w:rPr>
                <w:rStyle w:val="44"/>
                <w:rFonts w:hint="eastAsia" w:eastAsia="宋体" w:cs="Times New Roman"/>
                <w:color w:val="auto"/>
                <w:spacing w:val="0"/>
                <w:sz w:val="22"/>
                <w:szCs w:val="22"/>
                <w:highlight w:val="none"/>
                <w:vertAlign w:val="baseline"/>
                <w:lang w:val="en-US" w:eastAsia="zh-CN"/>
              </w:rPr>
              <w:t>5级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7" w:type="pct"/>
          </w:tcPr>
          <w:p>
            <w:pPr>
              <w:pStyle w:val="17"/>
              <w:keepNext w:val="0"/>
              <w:keepLines w:val="0"/>
              <w:pageBreakBefore w:val="0"/>
              <w:widowControl w:val="0"/>
              <w:kinsoku/>
              <w:wordWrap/>
              <w:overflowPunct/>
              <w:topLinePunct w:val="0"/>
              <w:autoSpaceDE/>
              <w:autoSpaceDN/>
              <w:bidi w:val="0"/>
              <w:adjustRightInd/>
              <w:snapToGrid/>
              <w:ind w:left="0" w:firstLine="440" w:firstLineChars="200"/>
              <w:jc w:val="left"/>
              <w:textAlignment w:val="auto"/>
              <w:rPr>
                <w:rStyle w:val="44"/>
                <w:rFonts w:hint="eastAsia" w:ascii="Times New Roman" w:hAnsi="Times New Roman" w:eastAsia="宋体" w:cs="Times New Roman"/>
                <w:color w:val="auto"/>
                <w:spacing w:val="0"/>
                <w:sz w:val="22"/>
                <w:szCs w:val="22"/>
                <w:highlight w:val="none"/>
                <w:vertAlign w:val="baseline"/>
                <w:lang w:val="en-US" w:eastAsia="zh-CN"/>
              </w:rPr>
            </w:pPr>
            <w:r>
              <w:rPr>
                <w:rStyle w:val="44"/>
                <w:rFonts w:hint="eastAsia" w:ascii="Times New Roman" w:hAnsi="Times New Roman" w:eastAsia="宋体" w:cs="Times New Roman"/>
                <w:color w:val="auto"/>
                <w:spacing w:val="0"/>
                <w:sz w:val="22"/>
                <w:szCs w:val="22"/>
                <w:highlight w:val="none"/>
                <w:vertAlign w:val="baseline"/>
                <w:lang w:val="en-US" w:eastAsia="zh-CN"/>
              </w:rPr>
              <w:t>灌溉面积</w:t>
            </w:r>
          </w:p>
        </w:tc>
        <w:tc>
          <w:tcPr>
            <w:tcW w:w="528" w:type="pct"/>
          </w:tcPr>
          <w:p>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r>
              <w:rPr>
                <w:rStyle w:val="44"/>
                <w:rFonts w:hint="eastAsia" w:eastAsia="宋体" w:cs="Times New Roman"/>
                <w:color w:val="auto"/>
                <w:spacing w:val="0"/>
                <w:sz w:val="22"/>
                <w:szCs w:val="22"/>
                <w:highlight w:val="none"/>
                <w:vertAlign w:val="baseline"/>
                <w:lang w:val="en-US" w:eastAsia="zh-CN"/>
              </w:rPr>
              <w:t>亩</w:t>
            </w:r>
          </w:p>
        </w:tc>
        <w:tc>
          <w:tcPr>
            <w:tcW w:w="1281" w:type="pct"/>
          </w:tcPr>
          <w:p>
            <w:pPr>
              <w:pStyle w:val="17"/>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Style w:val="44"/>
                <w:rFonts w:hint="eastAsia" w:ascii="仿宋_GB2312" w:hAnsi="仿宋_GB2312" w:eastAsia="仿宋_GB2312" w:cs="仿宋_GB2312"/>
                <w:color w:val="auto"/>
                <w:spacing w:val="0"/>
                <w:sz w:val="22"/>
                <w:szCs w:val="22"/>
                <w:highlight w:val="none"/>
                <w:vertAlign w:val="baseline"/>
                <w:lang w:val="en-US" w:eastAsia="zh-CN"/>
              </w:rPr>
            </w:pPr>
            <w:r>
              <w:rPr>
                <w:rStyle w:val="44"/>
                <w:rFonts w:hint="eastAsia" w:ascii="仿宋_GB2312" w:hAnsi="仿宋_GB2312" w:eastAsia="仿宋_GB2312" w:cs="仿宋_GB2312"/>
                <w:color w:val="auto"/>
                <w:spacing w:val="0"/>
                <w:sz w:val="22"/>
                <w:szCs w:val="22"/>
                <w:highlight w:val="none"/>
                <w:vertAlign w:val="baseline"/>
                <w:lang w:val="en-US" w:eastAsia="zh-CN"/>
              </w:rPr>
              <w:t>5100</w:t>
            </w:r>
          </w:p>
        </w:tc>
        <w:tc>
          <w:tcPr>
            <w:tcW w:w="1312" w:type="pct"/>
          </w:tcPr>
          <w:p>
            <w:pPr>
              <w:pStyle w:val="17"/>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Style w:val="44"/>
                <w:rFonts w:hint="eastAsia" w:eastAsia="宋体" w:cs="Times New Roman"/>
                <w:color w:val="auto"/>
                <w:spacing w:val="0"/>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7" w:type="pct"/>
          </w:tcPr>
          <w:p>
            <w:pPr>
              <w:pStyle w:val="17"/>
              <w:keepNext w:val="0"/>
              <w:keepLines w:val="0"/>
              <w:pageBreakBefore w:val="0"/>
              <w:widowControl w:val="0"/>
              <w:kinsoku/>
              <w:wordWrap/>
              <w:overflowPunct/>
              <w:topLinePunct w:val="0"/>
              <w:autoSpaceDE/>
              <w:autoSpaceDN/>
              <w:bidi w:val="0"/>
              <w:adjustRightInd/>
              <w:snapToGrid/>
              <w:jc w:val="left"/>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r>
              <w:rPr>
                <w:rStyle w:val="44"/>
                <w:rFonts w:hint="eastAsia" w:eastAsia="宋体" w:cs="Times New Roman"/>
                <w:b/>
                <w:bCs/>
                <w:color w:val="auto"/>
                <w:spacing w:val="0"/>
                <w:sz w:val="22"/>
                <w:szCs w:val="22"/>
                <w:highlight w:val="none"/>
                <w:vertAlign w:val="baseline"/>
                <w:lang w:val="en-US" w:eastAsia="zh-CN"/>
              </w:rPr>
              <w:t>三</w:t>
            </w:r>
            <w:r>
              <w:rPr>
                <w:rStyle w:val="44"/>
                <w:rFonts w:hint="default" w:ascii="Times New Roman" w:hAnsi="Times New Roman" w:eastAsia="宋体" w:cs="Times New Roman"/>
                <w:b/>
                <w:bCs/>
                <w:color w:val="auto"/>
                <w:spacing w:val="0"/>
                <w:sz w:val="22"/>
                <w:szCs w:val="22"/>
                <w:highlight w:val="none"/>
                <w:vertAlign w:val="baseline"/>
                <w:lang w:val="en-US" w:eastAsia="zh-CN"/>
              </w:rPr>
              <w:t>、</w:t>
            </w:r>
            <w:r>
              <w:rPr>
                <w:rStyle w:val="44"/>
                <w:rFonts w:hint="eastAsia" w:eastAsia="宋体" w:cs="Times New Roman"/>
                <w:b/>
                <w:bCs/>
                <w:color w:val="auto"/>
                <w:spacing w:val="0"/>
                <w:sz w:val="22"/>
                <w:szCs w:val="22"/>
                <w:highlight w:val="none"/>
                <w:vertAlign w:val="baseline"/>
                <w:lang w:val="en-US" w:eastAsia="zh-CN"/>
              </w:rPr>
              <w:t>主要建筑物</w:t>
            </w:r>
          </w:p>
        </w:tc>
        <w:tc>
          <w:tcPr>
            <w:tcW w:w="528" w:type="pct"/>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p>
        </w:tc>
        <w:tc>
          <w:tcPr>
            <w:tcW w:w="1281" w:type="pct"/>
          </w:tcPr>
          <w:p>
            <w:pPr>
              <w:pStyle w:val="17"/>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Style w:val="44"/>
                <w:rFonts w:hint="eastAsia" w:ascii="仿宋_GB2312" w:hAnsi="仿宋_GB2312" w:eastAsia="仿宋_GB2312" w:cs="仿宋_GB2312"/>
                <w:color w:val="auto"/>
                <w:spacing w:val="0"/>
                <w:sz w:val="22"/>
                <w:szCs w:val="22"/>
                <w:highlight w:val="none"/>
                <w:vertAlign w:val="baseline"/>
                <w:lang w:val="en-US" w:eastAsia="zh-CN"/>
              </w:rPr>
            </w:pPr>
          </w:p>
        </w:tc>
        <w:tc>
          <w:tcPr>
            <w:tcW w:w="1312" w:type="pct"/>
          </w:tcPr>
          <w:p>
            <w:pPr>
              <w:pStyle w:val="17"/>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877" w:type="pct"/>
            <w:vAlign w:val="center"/>
          </w:tcPr>
          <w:p>
            <w:pPr>
              <w:pStyle w:val="17"/>
              <w:keepNext w:val="0"/>
              <w:keepLines w:val="0"/>
              <w:pageBreakBefore w:val="0"/>
              <w:widowControl w:val="0"/>
              <w:kinsoku/>
              <w:wordWrap/>
              <w:overflowPunct/>
              <w:topLinePunct w:val="0"/>
              <w:autoSpaceDE/>
              <w:autoSpaceDN/>
              <w:bidi w:val="0"/>
              <w:adjustRightInd/>
              <w:snapToGrid/>
              <w:ind w:left="0" w:leftChars="0" w:firstLine="0" w:firstLineChars="0"/>
              <w:jc w:val="both"/>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r>
              <w:rPr>
                <w:rStyle w:val="44"/>
                <w:rFonts w:hint="eastAsia" w:eastAsia="宋体" w:cs="Times New Roman"/>
                <w:color w:val="auto"/>
                <w:spacing w:val="0"/>
                <w:sz w:val="22"/>
                <w:szCs w:val="22"/>
                <w:highlight w:val="none"/>
                <w:vertAlign w:val="baseline"/>
                <w:lang w:val="en-US" w:eastAsia="zh-CN"/>
              </w:rPr>
              <w:t>1.大坝</w:t>
            </w:r>
          </w:p>
        </w:tc>
        <w:tc>
          <w:tcPr>
            <w:tcW w:w="528" w:type="pct"/>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p>
        </w:tc>
        <w:tc>
          <w:tcPr>
            <w:tcW w:w="1281" w:type="pct"/>
            <w:vAlign w:val="center"/>
          </w:tcPr>
          <w:p>
            <w:pPr>
              <w:pStyle w:val="17"/>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Style w:val="44"/>
                <w:rFonts w:hint="eastAsia" w:ascii="仿宋_GB2312" w:hAnsi="仿宋_GB2312" w:eastAsia="仿宋_GB2312" w:cs="仿宋_GB2312"/>
                <w:color w:val="auto"/>
                <w:spacing w:val="0"/>
                <w:sz w:val="22"/>
                <w:szCs w:val="22"/>
                <w:highlight w:val="none"/>
                <w:vertAlign w:val="baseline"/>
                <w:lang w:val="en-US" w:eastAsia="zh-CN"/>
              </w:rPr>
            </w:pPr>
          </w:p>
        </w:tc>
        <w:tc>
          <w:tcPr>
            <w:tcW w:w="1312" w:type="pct"/>
          </w:tcPr>
          <w:p>
            <w:pPr>
              <w:pStyle w:val="17"/>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7" w:type="pct"/>
            <w:vAlign w:val="top"/>
          </w:tcPr>
          <w:p>
            <w:pPr>
              <w:keepNext w:val="0"/>
              <w:keepLines w:val="0"/>
              <w:pageBreakBefore w:val="0"/>
              <w:widowControl w:val="0"/>
              <w:kinsoku/>
              <w:wordWrap/>
              <w:overflowPunct/>
              <w:topLinePunct w:val="0"/>
              <w:autoSpaceDE/>
              <w:autoSpaceDN/>
              <w:bidi w:val="0"/>
              <w:adjustRightInd/>
              <w:snapToGrid/>
              <w:spacing w:line="240" w:lineRule="auto"/>
              <w:ind w:left="0" w:leftChars="0" w:firstLine="472" w:firstLineChars="200"/>
              <w:jc w:val="left"/>
              <w:textAlignment w:val="auto"/>
              <w:rPr>
                <w:rFonts w:hint="default" w:ascii="宋体" w:hAnsi="宋体" w:eastAsia="宋体" w:cs="宋体"/>
                <w:color w:val="auto"/>
                <w:kern w:val="2"/>
                <w:sz w:val="22"/>
                <w:szCs w:val="22"/>
                <w:highlight w:val="none"/>
                <w:lang w:val="en-US" w:eastAsia="zh-CN" w:bidi="ar-SA"/>
              </w:rPr>
            </w:pPr>
            <w:r>
              <w:rPr>
                <w:rFonts w:ascii="宋体" w:hAnsi="宋体" w:eastAsia="宋体" w:cs="宋体"/>
                <w:color w:val="auto"/>
                <w:spacing w:val="8"/>
                <w:position w:val="1"/>
                <w:sz w:val="22"/>
                <w:szCs w:val="22"/>
                <w:highlight w:val="none"/>
              </w:rPr>
              <w:t>坝顶高程</w:t>
            </w:r>
            <w:r>
              <w:rPr>
                <w:rFonts w:ascii="Times New Roman" w:hAnsi="Times New Roman" w:eastAsia="Times New Roman" w:cs="Times New Roman"/>
                <w:color w:val="auto"/>
                <w:spacing w:val="8"/>
                <w:position w:val="1"/>
                <w:sz w:val="22"/>
                <w:szCs w:val="22"/>
                <w:highlight w:val="none"/>
              </w:rPr>
              <w:t>/</w:t>
            </w:r>
            <w:r>
              <w:rPr>
                <w:rFonts w:ascii="宋体" w:hAnsi="宋体" w:eastAsia="宋体" w:cs="宋体"/>
                <w:color w:val="auto"/>
                <w:spacing w:val="8"/>
                <w:position w:val="1"/>
                <w:sz w:val="22"/>
                <w:szCs w:val="22"/>
                <w:highlight w:val="none"/>
              </w:rPr>
              <w:t>墙顶高程</w:t>
            </w:r>
          </w:p>
        </w:tc>
        <w:tc>
          <w:tcPr>
            <w:tcW w:w="528" w:type="pct"/>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r>
              <w:rPr>
                <w:rStyle w:val="44"/>
                <w:rFonts w:hint="eastAsia" w:eastAsia="宋体" w:cs="Times New Roman"/>
                <w:color w:val="auto"/>
                <w:spacing w:val="0"/>
                <w:sz w:val="22"/>
                <w:szCs w:val="22"/>
                <w:highlight w:val="none"/>
                <w:vertAlign w:val="baseline"/>
                <w:lang w:val="en-US" w:eastAsia="zh-CN"/>
              </w:rPr>
              <w:t>m</w:t>
            </w:r>
          </w:p>
        </w:tc>
        <w:tc>
          <w:tcPr>
            <w:tcW w:w="1281" w:type="pct"/>
          </w:tcPr>
          <w:p>
            <w:pPr>
              <w:pStyle w:val="17"/>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Style w:val="44"/>
                <w:rFonts w:hint="eastAsia" w:ascii="仿宋_GB2312" w:hAnsi="仿宋_GB2312" w:eastAsia="仿宋_GB2312" w:cs="仿宋_GB2312"/>
                <w:color w:val="auto"/>
                <w:spacing w:val="0"/>
                <w:sz w:val="22"/>
                <w:szCs w:val="22"/>
                <w:highlight w:val="none"/>
                <w:vertAlign w:val="baseline"/>
                <w:lang w:val="en-US" w:eastAsia="zh-CN"/>
              </w:rPr>
            </w:pPr>
            <w:r>
              <w:rPr>
                <w:rFonts w:hint="eastAsia" w:ascii="仿宋_GB2312" w:hAnsi="仿宋_GB2312" w:eastAsia="仿宋_GB2312" w:cs="仿宋_GB2312"/>
                <w:color w:val="auto"/>
                <w:sz w:val="22"/>
                <w:szCs w:val="22"/>
                <w:highlight w:val="none"/>
                <w:lang w:val="en-US" w:eastAsia="zh-CN"/>
              </w:rPr>
              <w:t>230.6-231.2</w:t>
            </w:r>
          </w:p>
        </w:tc>
        <w:tc>
          <w:tcPr>
            <w:tcW w:w="1312" w:type="pct"/>
          </w:tcPr>
          <w:p>
            <w:pPr>
              <w:pStyle w:val="17"/>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7" w:type="pct"/>
            <w:vAlign w:val="top"/>
          </w:tcPr>
          <w:p>
            <w:pPr>
              <w:keepNext w:val="0"/>
              <w:keepLines w:val="0"/>
              <w:pageBreakBefore w:val="0"/>
              <w:widowControl w:val="0"/>
              <w:kinsoku/>
              <w:wordWrap/>
              <w:overflowPunct/>
              <w:topLinePunct w:val="0"/>
              <w:autoSpaceDE/>
              <w:autoSpaceDN/>
              <w:bidi w:val="0"/>
              <w:adjustRightInd/>
              <w:snapToGrid/>
              <w:spacing w:line="240" w:lineRule="auto"/>
              <w:ind w:left="0" w:leftChars="0" w:firstLine="472" w:firstLineChars="200"/>
              <w:jc w:val="left"/>
              <w:textAlignment w:val="auto"/>
              <w:rPr>
                <w:rFonts w:hint="default" w:ascii="宋体" w:hAnsi="宋体" w:eastAsia="宋体" w:cs="宋体"/>
                <w:color w:val="auto"/>
                <w:kern w:val="2"/>
                <w:sz w:val="22"/>
                <w:szCs w:val="22"/>
                <w:highlight w:val="none"/>
                <w:lang w:val="en-US" w:eastAsia="zh-CN" w:bidi="ar-SA"/>
              </w:rPr>
            </w:pPr>
            <w:r>
              <w:rPr>
                <w:rFonts w:ascii="宋体" w:hAnsi="宋体" w:eastAsia="宋体" w:cs="宋体"/>
                <w:color w:val="auto"/>
                <w:spacing w:val="8"/>
                <w:sz w:val="22"/>
                <w:szCs w:val="22"/>
                <w:highlight w:val="none"/>
              </w:rPr>
              <w:t>最</w:t>
            </w:r>
            <w:r>
              <w:rPr>
                <w:rFonts w:ascii="宋体" w:hAnsi="宋体" w:eastAsia="宋体" w:cs="宋体"/>
                <w:color w:val="auto"/>
                <w:spacing w:val="6"/>
                <w:sz w:val="22"/>
                <w:szCs w:val="22"/>
                <w:highlight w:val="none"/>
              </w:rPr>
              <w:t>大坝高</w:t>
            </w:r>
          </w:p>
        </w:tc>
        <w:tc>
          <w:tcPr>
            <w:tcW w:w="528" w:type="pct"/>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r>
              <w:rPr>
                <w:rStyle w:val="44"/>
                <w:rFonts w:hint="eastAsia" w:eastAsia="宋体" w:cs="Times New Roman"/>
                <w:color w:val="auto"/>
                <w:spacing w:val="0"/>
                <w:sz w:val="22"/>
                <w:szCs w:val="22"/>
                <w:highlight w:val="none"/>
                <w:vertAlign w:val="baseline"/>
                <w:lang w:val="en-US" w:eastAsia="zh-CN"/>
              </w:rPr>
              <w:t>m</w:t>
            </w:r>
          </w:p>
        </w:tc>
        <w:tc>
          <w:tcPr>
            <w:tcW w:w="1281" w:type="pct"/>
          </w:tcPr>
          <w:p>
            <w:pPr>
              <w:pStyle w:val="17"/>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Style w:val="44"/>
                <w:rFonts w:hint="eastAsia" w:ascii="仿宋_GB2312" w:hAnsi="仿宋_GB2312" w:eastAsia="仿宋_GB2312" w:cs="仿宋_GB2312"/>
                <w:color w:val="auto"/>
                <w:spacing w:val="0"/>
                <w:sz w:val="22"/>
                <w:szCs w:val="22"/>
                <w:highlight w:val="none"/>
                <w:vertAlign w:val="baseline"/>
                <w:lang w:val="en-US" w:eastAsia="zh-CN"/>
              </w:rPr>
            </w:pPr>
            <w:r>
              <w:rPr>
                <w:rStyle w:val="44"/>
                <w:rFonts w:hint="eastAsia" w:ascii="仿宋_GB2312" w:hAnsi="仿宋_GB2312" w:eastAsia="仿宋_GB2312" w:cs="仿宋_GB2312"/>
                <w:color w:val="auto"/>
                <w:spacing w:val="0"/>
                <w:sz w:val="22"/>
                <w:szCs w:val="22"/>
                <w:highlight w:val="none"/>
                <w:vertAlign w:val="baseline"/>
                <w:lang w:val="en-US" w:eastAsia="zh-CN"/>
              </w:rPr>
              <w:t>33.5</w:t>
            </w:r>
          </w:p>
        </w:tc>
        <w:tc>
          <w:tcPr>
            <w:tcW w:w="1312" w:type="pct"/>
          </w:tcPr>
          <w:p>
            <w:pPr>
              <w:pStyle w:val="17"/>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77" w:type="pct"/>
            <w:vAlign w:val="top"/>
          </w:tcPr>
          <w:p>
            <w:pPr>
              <w:keepNext w:val="0"/>
              <w:keepLines w:val="0"/>
              <w:pageBreakBefore w:val="0"/>
              <w:widowControl w:val="0"/>
              <w:kinsoku/>
              <w:wordWrap/>
              <w:overflowPunct/>
              <w:topLinePunct w:val="0"/>
              <w:autoSpaceDE/>
              <w:autoSpaceDN/>
              <w:bidi w:val="0"/>
              <w:adjustRightInd/>
              <w:snapToGrid/>
              <w:spacing w:line="240" w:lineRule="auto"/>
              <w:ind w:left="0" w:leftChars="0" w:firstLine="476" w:firstLineChars="200"/>
              <w:jc w:val="left"/>
              <w:textAlignment w:val="auto"/>
              <w:rPr>
                <w:rFonts w:hint="default" w:ascii="宋体" w:hAnsi="宋体" w:eastAsia="宋体" w:cs="宋体"/>
                <w:color w:val="auto"/>
                <w:kern w:val="2"/>
                <w:sz w:val="22"/>
                <w:szCs w:val="22"/>
                <w:highlight w:val="none"/>
                <w:lang w:val="en-US" w:eastAsia="zh-CN" w:bidi="ar-SA"/>
              </w:rPr>
            </w:pPr>
            <w:r>
              <w:rPr>
                <w:rFonts w:ascii="宋体" w:hAnsi="宋体" w:eastAsia="宋体" w:cs="宋体"/>
                <w:color w:val="auto"/>
                <w:spacing w:val="9"/>
                <w:sz w:val="22"/>
                <w:szCs w:val="22"/>
                <w:highlight w:val="none"/>
              </w:rPr>
              <w:t>坝</w:t>
            </w:r>
            <w:r>
              <w:rPr>
                <w:rFonts w:ascii="宋体" w:hAnsi="宋体" w:eastAsia="宋体" w:cs="宋体"/>
                <w:color w:val="auto"/>
                <w:spacing w:val="7"/>
                <w:sz w:val="22"/>
                <w:szCs w:val="22"/>
                <w:highlight w:val="none"/>
              </w:rPr>
              <w:t>顶宽度</w:t>
            </w:r>
          </w:p>
        </w:tc>
        <w:tc>
          <w:tcPr>
            <w:tcW w:w="528" w:type="pct"/>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r>
              <w:rPr>
                <w:rStyle w:val="44"/>
                <w:rFonts w:hint="eastAsia" w:eastAsia="宋体" w:cs="Times New Roman"/>
                <w:color w:val="auto"/>
                <w:spacing w:val="0"/>
                <w:sz w:val="22"/>
                <w:szCs w:val="22"/>
                <w:highlight w:val="none"/>
                <w:vertAlign w:val="baseline"/>
                <w:lang w:val="en-US" w:eastAsia="zh-CN"/>
              </w:rPr>
              <w:t>m</w:t>
            </w:r>
          </w:p>
        </w:tc>
        <w:tc>
          <w:tcPr>
            <w:tcW w:w="1281" w:type="pct"/>
          </w:tcPr>
          <w:p>
            <w:pPr>
              <w:pStyle w:val="17"/>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Style w:val="44"/>
                <w:rFonts w:hint="eastAsia" w:ascii="仿宋_GB2312" w:hAnsi="仿宋_GB2312" w:eastAsia="仿宋_GB2312" w:cs="仿宋_GB2312"/>
                <w:color w:val="auto"/>
                <w:spacing w:val="0"/>
                <w:sz w:val="22"/>
                <w:szCs w:val="22"/>
                <w:highlight w:val="none"/>
                <w:vertAlign w:val="baseline"/>
                <w:lang w:val="en-US" w:eastAsia="zh-CN"/>
              </w:rPr>
            </w:pPr>
            <w:r>
              <w:rPr>
                <w:rStyle w:val="44"/>
                <w:rFonts w:hint="eastAsia" w:ascii="仿宋_GB2312" w:hAnsi="仿宋_GB2312" w:eastAsia="仿宋_GB2312" w:cs="仿宋_GB2312"/>
                <w:color w:val="auto"/>
                <w:spacing w:val="0"/>
                <w:sz w:val="22"/>
                <w:szCs w:val="22"/>
                <w:highlight w:val="none"/>
                <w:vertAlign w:val="baseline"/>
                <w:lang w:val="en-US" w:eastAsia="zh-CN"/>
              </w:rPr>
              <w:t>5.0</w:t>
            </w:r>
          </w:p>
        </w:tc>
        <w:tc>
          <w:tcPr>
            <w:tcW w:w="1312" w:type="pct"/>
          </w:tcPr>
          <w:p>
            <w:pPr>
              <w:pStyle w:val="17"/>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7" w:type="pct"/>
            <w:vAlign w:val="top"/>
          </w:tcPr>
          <w:p>
            <w:pPr>
              <w:keepNext w:val="0"/>
              <w:keepLines w:val="0"/>
              <w:pageBreakBefore w:val="0"/>
              <w:widowControl w:val="0"/>
              <w:kinsoku/>
              <w:wordWrap/>
              <w:overflowPunct/>
              <w:topLinePunct w:val="0"/>
              <w:autoSpaceDE/>
              <w:autoSpaceDN/>
              <w:bidi w:val="0"/>
              <w:adjustRightInd/>
              <w:snapToGrid/>
              <w:spacing w:line="240" w:lineRule="auto"/>
              <w:ind w:left="0" w:leftChars="0" w:firstLine="460" w:firstLineChars="200"/>
              <w:jc w:val="left"/>
              <w:textAlignment w:val="auto"/>
              <w:rPr>
                <w:rFonts w:hint="default" w:ascii="宋体" w:hAnsi="宋体" w:eastAsia="宋体" w:cs="宋体"/>
                <w:color w:val="auto"/>
                <w:kern w:val="2"/>
                <w:sz w:val="22"/>
                <w:szCs w:val="22"/>
                <w:highlight w:val="none"/>
                <w:lang w:val="en-US" w:eastAsia="zh-CN" w:bidi="ar-SA"/>
              </w:rPr>
            </w:pPr>
            <w:r>
              <w:rPr>
                <w:rFonts w:ascii="宋体" w:hAnsi="宋体" w:eastAsia="宋体" w:cs="宋体"/>
                <w:color w:val="auto"/>
                <w:spacing w:val="5"/>
                <w:sz w:val="22"/>
                <w:szCs w:val="22"/>
                <w:highlight w:val="none"/>
              </w:rPr>
              <w:t>坝长</w:t>
            </w:r>
          </w:p>
        </w:tc>
        <w:tc>
          <w:tcPr>
            <w:tcW w:w="528" w:type="pct"/>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r>
              <w:rPr>
                <w:rStyle w:val="44"/>
                <w:rFonts w:hint="eastAsia" w:eastAsia="宋体" w:cs="Times New Roman"/>
                <w:color w:val="auto"/>
                <w:spacing w:val="0"/>
                <w:sz w:val="22"/>
                <w:szCs w:val="22"/>
                <w:highlight w:val="none"/>
                <w:vertAlign w:val="baseline"/>
                <w:lang w:val="en-US" w:eastAsia="zh-CN"/>
              </w:rPr>
              <w:t>m</w:t>
            </w:r>
          </w:p>
        </w:tc>
        <w:tc>
          <w:tcPr>
            <w:tcW w:w="1281" w:type="pct"/>
          </w:tcPr>
          <w:p>
            <w:pPr>
              <w:pStyle w:val="17"/>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Style w:val="44"/>
                <w:rFonts w:hint="eastAsia" w:ascii="仿宋_GB2312" w:hAnsi="仿宋_GB2312" w:eastAsia="仿宋_GB2312" w:cs="仿宋_GB2312"/>
                <w:color w:val="auto"/>
                <w:spacing w:val="0"/>
                <w:sz w:val="22"/>
                <w:szCs w:val="22"/>
                <w:highlight w:val="none"/>
                <w:vertAlign w:val="baseline"/>
                <w:lang w:val="en-US" w:eastAsia="zh-CN"/>
              </w:rPr>
            </w:pPr>
            <w:r>
              <w:rPr>
                <w:rStyle w:val="44"/>
                <w:rFonts w:hint="eastAsia" w:ascii="仿宋_GB2312" w:hAnsi="仿宋_GB2312" w:eastAsia="仿宋_GB2312" w:cs="仿宋_GB2312"/>
                <w:color w:val="auto"/>
                <w:spacing w:val="0"/>
                <w:sz w:val="22"/>
                <w:szCs w:val="22"/>
                <w:highlight w:val="none"/>
                <w:vertAlign w:val="baseline"/>
                <w:lang w:val="en-US" w:eastAsia="zh-CN"/>
              </w:rPr>
              <w:t>168</w:t>
            </w:r>
          </w:p>
        </w:tc>
        <w:tc>
          <w:tcPr>
            <w:tcW w:w="1312" w:type="pct"/>
          </w:tcPr>
          <w:p>
            <w:pPr>
              <w:pStyle w:val="17"/>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7" w:type="pct"/>
          </w:tcPr>
          <w:p>
            <w:pPr>
              <w:pStyle w:val="17"/>
              <w:keepNext w:val="0"/>
              <w:keepLines w:val="0"/>
              <w:pageBreakBefore w:val="0"/>
              <w:widowControl w:val="0"/>
              <w:kinsoku/>
              <w:wordWrap/>
              <w:overflowPunct/>
              <w:topLinePunct w:val="0"/>
              <w:autoSpaceDE/>
              <w:autoSpaceDN/>
              <w:bidi w:val="0"/>
              <w:adjustRightInd/>
              <w:snapToGrid/>
              <w:ind w:left="0" w:leftChars="0" w:firstLine="0" w:firstLineChars="0"/>
              <w:jc w:val="left"/>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r>
              <w:rPr>
                <w:rStyle w:val="44"/>
                <w:rFonts w:hint="eastAsia" w:eastAsia="宋体" w:cs="Times New Roman"/>
                <w:color w:val="auto"/>
                <w:spacing w:val="0"/>
                <w:sz w:val="22"/>
                <w:szCs w:val="22"/>
                <w:highlight w:val="none"/>
                <w:vertAlign w:val="baseline"/>
                <w:lang w:val="en-US" w:eastAsia="zh-CN"/>
              </w:rPr>
              <w:t>2.溢洪道</w:t>
            </w:r>
          </w:p>
        </w:tc>
        <w:tc>
          <w:tcPr>
            <w:tcW w:w="528" w:type="pct"/>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p>
        </w:tc>
        <w:tc>
          <w:tcPr>
            <w:tcW w:w="1281" w:type="pct"/>
          </w:tcPr>
          <w:p>
            <w:pPr>
              <w:pStyle w:val="17"/>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Style w:val="44"/>
                <w:rFonts w:hint="eastAsia" w:ascii="仿宋_GB2312" w:hAnsi="仿宋_GB2312" w:eastAsia="仿宋_GB2312" w:cs="仿宋_GB2312"/>
                <w:color w:val="auto"/>
                <w:spacing w:val="0"/>
                <w:sz w:val="22"/>
                <w:szCs w:val="22"/>
                <w:highlight w:val="none"/>
                <w:vertAlign w:val="baseline"/>
                <w:lang w:val="en-US" w:eastAsia="zh-CN"/>
              </w:rPr>
            </w:pPr>
          </w:p>
        </w:tc>
        <w:tc>
          <w:tcPr>
            <w:tcW w:w="1312" w:type="pct"/>
          </w:tcPr>
          <w:p>
            <w:pPr>
              <w:pStyle w:val="17"/>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7" w:type="pct"/>
          </w:tcPr>
          <w:p>
            <w:pPr>
              <w:pStyle w:val="17"/>
              <w:keepNext w:val="0"/>
              <w:keepLines w:val="0"/>
              <w:pageBreakBefore w:val="0"/>
              <w:widowControl w:val="0"/>
              <w:kinsoku/>
              <w:wordWrap/>
              <w:overflowPunct/>
              <w:topLinePunct w:val="0"/>
              <w:autoSpaceDE/>
              <w:autoSpaceDN/>
              <w:bidi w:val="0"/>
              <w:adjustRightInd/>
              <w:snapToGrid/>
              <w:ind w:left="0" w:leftChars="0" w:firstLine="440" w:firstLineChars="200"/>
              <w:jc w:val="left"/>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r>
              <w:rPr>
                <w:rFonts w:hint="eastAsia"/>
                <w:color w:val="auto"/>
                <w:sz w:val="22"/>
                <w:szCs w:val="22"/>
                <w:highlight w:val="none"/>
              </w:rPr>
              <w:t>堰顶高程</w:t>
            </w:r>
          </w:p>
        </w:tc>
        <w:tc>
          <w:tcPr>
            <w:tcW w:w="528" w:type="pct"/>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r>
              <w:rPr>
                <w:rStyle w:val="44"/>
                <w:rFonts w:hint="eastAsia" w:eastAsia="宋体" w:cs="Times New Roman"/>
                <w:color w:val="auto"/>
                <w:spacing w:val="0"/>
                <w:sz w:val="22"/>
                <w:szCs w:val="22"/>
                <w:highlight w:val="none"/>
                <w:vertAlign w:val="baseline"/>
                <w:lang w:val="en-US" w:eastAsia="zh-CN"/>
              </w:rPr>
              <w:t>m</w:t>
            </w:r>
          </w:p>
        </w:tc>
        <w:tc>
          <w:tcPr>
            <w:tcW w:w="1281" w:type="pct"/>
          </w:tcPr>
          <w:p>
            <w:pPr>
              <w:pStyle w:val="17"/>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Style w:val="44"/>
                <w:rFonts w:hint="eastAsia" w:ascii="仿宋_GB2312" w:hAnsi="仿宋_GB2312" w:eastAsia="仿宋_GB2312" w:cs="仿宋_GB2312"/>
                <w:color w:val="auto"/>
                <w:spacing w:val="0"/>
                <w:sz w:val="22"/>
                <w:szCs w:val="22"/>
                <w:highlight w:val="none"/>
                <w:vertAlign w:val="baseline"/>
                <w:lang w:val="en-US" w:eastAsia="zh-CN"/>
              </w:rPr>
            </w:pPr>
            <w:r>
              <w:rPr>
                <w:rStyle w:val="44"/>
                <w:rFonts w:hint="eastAsia" w:ascii="仿宋_GB2312" w:hAnsi="仿宋_GB2312" w:eastAsia="仿宋_GB2312" w:cs="仿宋_GB2312"/>
                <w:color w:val="auto"/>
                <w:spacing w:val="0"/>
                <w:sz w:val="22"/>
                <w:szCs w:val="22"/>
                <w:highlight w:val="none"/>
                <w:vertAlign w:val="baseline"/>
                <w:lang w:val="en-US" w:eastAsia="zh-CN"/>
              </w:rPr>
              <w:t>223.8</w:t>
            </w:r>
          </w:p>
        </w:tc>
        <w:tc>
          <w:tcPr>
            <w:tcW w:w="1312" w:type="pct"/>
          </w:tcPr>
          <w:p>
            <w:pPr>
              <w:pStyle w:val="17"/>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77" w:type="pct"/>
          </w:tcPr>
          <w:p>
            <w:pPr>
              <w:pStyle w:val="17"/>
              <w:keepNext w:val="0"/>
              <w:keepLines w:val="0"/>
              <w:pageBreakBefore w:val="0"/>
              <w:widowControl w:val="0"/>
              <w:kinsoku/>
              <w:wordWrap/>
              <w:overflowPunct/>
              <w:topLinePunct w:val="0"/>
              <w:autoSpaceDE/>
              <w:autoSpaceDN/>
              <w:bidi w:val="0"/>
              <w:adjustRightInd/>
              <w:snapToGrid/>
              <w:ind w:left="0" w:leftChars="0" w:firstLine="440" w:firstLineChars="200"/>
              <w:jc w:val="left"/>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r>
              <w:rPr>
                <w:rFonts w:hint="eastAsia"/>
                <w:color w:val="auto"/>
                <w:sz w:val="22"/>
                <w:szCs w:val="22"/>
                <w:highlight w:val="none"/>
              </w:rPr>
              <w:t>溢洪道净宽 (m )</w:t>
            </w:r>
          </w:p>
        </w:tc>
        <w:tc>
          <w:tcPr>
            <w:tcW w:w="528" w:type="pct"/>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r>
              <w:rPr>
                <w:rStyle w:val="44"/>
                <w:rFonts w:hint="eastAsia" w:eastAsia="宋体" w:cs="Times New Roman"/>
                <w:color w:val="auto"/>
                <w:spacing w:val="0"/>
                <w:sz w:val="22"/>
                <w:szCs w:val="22"/>
                <w:highlight w:val="none"/>
                <w:vertAlign w:val="baseline"/>
                <w:lang w:val="en-US" w:eastAsia="zh-CN"/>
              </w:rPr>
              <w:t>m</w:t>
            </w:r>
          </w:p>
        </w:tc>
        <w:tc>
          <w:tcPr>
            <w:tcW w:w="1281" w:type="pct"/>
          </w:tcPr>
          <w:p>
            <w:pPr>
              <w:pStyle w:val="17"/>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Style w:val="44"/>
                <w:rFonts w:hint="default" w:ascii="仿宋_GB2312" w:hAnsi="仿宋_GB2312" w:eastAsia="仿宋_GB2312" w:cs="仿宋_GB2312"/>
                <w:color w:val="auto"/>
                <w:spacing w:val="0"/>
                <w:sz w:val="22"/>
                <w:szCs w:val="22"/>
                <w:highlight w:val="none"/>
                <w:vertAlign w:val="baseline"/>
                <w:lang w:val="en-US" w:eastAsia="zh-CN"/>
              </w:rPr>
            </w:pPr>
            <w:r>
              <w:rPr>
                <w:rStyle w:val="44"/>
                <w:rFonts w:hint="eastAsia" w:ascii="仿宋_GB2312" w:hAnsi="仿宋_GB2312" w:eastAsia="仿宋_GB2312" w:cs="仿宋_GB2312"/>
                <w:color w:val="auto"/>
                <w:spacing w:val="0"/>
                <w:sz w:val="22"/>
                <w:szCs w:val="22"/>
                <w:highlight w:val="none"/>
                <w:vertAlign w:val="baseline"/>
                <w:lang w:val="en-US" w:eastAsia="zh-CN"/>
              </w:rPr>
              <w:t>18.0</w:t>
            </w:r>
          </w:p>
        </w:tc>
        <w:tc>
          <w:tcPr>
            <w:tcW w:w="1312" w:type="pct"/>
          </w:tcPr>
          <w:p>
            <w:pPr>
              <w:pStyle w:val="17"/>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7" w:type="pct"/>
            <w:vAlign w:val="center"/>
          </w:tcPr>
          <w:p>
            <w:pPr>
              <w:pStyle w:val="17"/>
              <w:keepNext w:val="0"/>
              <w:keepLines w:val="0"/>
              <w:pageBreakBefore w:val="0"/>
              <w:widowControl w:val="0"/>
              <w:kinsoku/>
              <w:wordWrap/>
              <w:overflowPunct/>
              <w:topLinePunct w:val="0"/>
              <w:autoSpaceDE/>
              <w:autoSpaceDN/>
              <w:bidi w:val="0"/>
              <w:adjustRightInd/>
              <w:snapToGrid/>
              <w:ind w:left="0" w:leftChars="0" w:firstLine="0" w:firstLineChars="0"/>
              <w:jc w:val="left"/>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r>
              <w:rPr>
                <w:rStyle w:val="44"/>
                <w:rFonts w:hint="eastAsia" w:eastAsia="宋体" w:cs="Times New Roman"/>
                <w:color w:val="auto"/>
                <w:spacing w:val="0"/>
                <w:sz w:val="22"/>
                <w:szCs w:val="22"/>
                <w:highlight w:val="none"/>
                <w:vertAlign w:val="baseline"/>
                <w:lang w:val="en-US" w:eastAsia="zh-CN"/>
              </w:rPr>
              <w:t>3.输水涵管</w:t>
            </w:r>
          </w:p>
        </w:tc>
        <w:tc>
          <w:tcPr>
            <w:tcW w:w="528" w:type="pct"/>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p>
        </w:tc>
        <w:tc>
          <w:tcPr>
            <w:tcW w:w="1281" w:type="pct"/>
          </w:tcPr>
          <w:p>
            <w:pPr>
              <w:pStyle w:val="17"/>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Style w:val="44"/>
                <w:rFonts w:hint="eastAsia" w:ascii="仿宋_GB2312" w:hAnsi="仿宋_GB2312" w:eastAsia="仿宋_GB2312" w:cs="仿宋_GB2312"/>
                <w:color w:val="auto"/>
                <w:spacing w:val="0"/>
                <w:sz w:val="22"/>
                <w:szCs w:val="22"/>
                <w:highlight w:val="none"/>
                <w:vertAlign w:val="baseline"/>
                <w:lang w:val="en-US" w:eastAsia="zh-CN"/>
              </w:rPr>
            </w:pPr>
          </w:p>
        </w:tc>
        <w:tc>
          <w:tcPr>
            <w:tcW w:w="1312" w:type="pct"/>
          </w:tcPr>
          <w:p>
            <w:pPr>
              <w:pStyle w:val="17"/>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7" w:type="pct"/>
            <w:vAlign w:val="center"/>
          </w:tcPr>
          <w:p>
            <w:pPr>
              <w:pStyle w:val="17"/>
              <w:keepNext w:val="0"/>
              <w:keepLines w:val="0"/>
              <w:pageBreakBefore w:val="0"/>
              <w:widowControl w:val="0"/>
              <w:kinsoku/>
              <w:wordWrap/>
              <w:overflowPunct/>
              <w:topLinePunct w:val="0"/>
              <w:autoSpaceDE/>
              <w:autoSpaceDN/>
              <w:bidi w:val="0"/>
              <w:adjustRightInd/>
              <w:snapToGrid/>
              <w:ind w:left="0" w:leftChars="0" w:firstLine="440" w:firstLineChars="200"/>
              <w:jc w:val="both"/>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r>
              <w:rPr>
                <w:rStyle w:val="44"/>
                <w:rFonts w:hint="eastAsia" w:eastAsia="宋体" w:cs="Times New Roman"/>
                <w:color w:val="auto"/>
                <w:spacing w:val="0"/>
                <w:sz w:val="22"/>
                <w:szCs w:val="22"/>
                <w:highlight w:val="none"/>
                <w:vertAlign w:val="baseline"/>
                <w:lang w:val="en-US" w:eastAsia="zh-CN"/>
              </w:rPr>
              <w:t>管径</w:t>
            </w:r>
          </w:p>
        </w:tc>
        <w:tc>
          <w:tcPr>
            <w:tcW w:w="528" w:type="pct"/>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r>
              <w:rPr>
                <w:rStyle w:val="44"/>
                <w:rFonts w:hint="eastAsia" w:eastAsia="宋体" w:cs="Times New Roman"/>
                <w:color w:val="auto"/>
                <w:spacing w:val="0"/>
                <w:sz w:val="22"/>
                <w:szCs w:val="22"/>
                <w:highlight w:val="none"/>
                <w:vertAlign w:val="baseline"/>
                <w:lang w:val="en-US" w:eastAsia="zh-CN"/>
              </w:rPr>
              <w:t>m</w:t>
            </w:r>
          </w:p>
        </w:tc>
        <w:tc>
          <w:tcPr>
            <w:tcW w:w="1281" w:type="pct"/>
          </w:tcPr>
          <w:p>
            <w:pPr>
              <w:pStyle w:val="17"/>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Style w:val="44"/>
                <w:rFonts w:hint="default" w:ascii="仿宋_GB2312" w:hAnsi="仿宋_GB2312" w:eastAsia="仿宋_GB2312" w:cs="仿宋_GB2312"/>
                <w:color w:val="auto"/>
                <w:spacing w:val="0"/>
                <w:sz w:val="22"/>
                <w:szCs w:val="22"/>
                <w:highlight w:val="none"/>
                <w:vertAlign w:val="baseline"/>
                <w:lang w:val="en-US" w:eastAsia="zh-CN"/>
              </w:rPr>
            </w:pPr>
            <w:r>
              <w:rPr>
                <w:rStyle w:val="44"/>
                <w:rFonts w:hint="eastAsia" w:ascii="仿宋_GB2312" w:hAnsi="仿宋_GB2312" w:eastAsia="仿宋_GB2312" w:cs="仿宋_GB2312"/>
                <w:color w:val="auto"/>
                <w:spacing w:val="0"/>
                <w:sz w:val="22"/>
                <w:szCs w:val="22"/>
                <w:highlight w:val="none"/>
                <w:vertAlign w:val="baseline"/>
                <w:lang w:val="en-US" w:eastAsia="zh-CN"/>
              </w:rPr>
              <w:t>0.62</w:t>
            </w:r>
          </w:p>
        </w:tc>
        <w:tc>
          <w:tcPr>
            <w:tcW w:w="1312" w:type="pct"/>
          </w:tcPr>
          <w:p>
            <w:pPr>
              <w:pStyle w:val="17"/>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7" w:type="pct"/>
          </w:tcPr>
          <w:p>
            <w:pPr>
              <w:pStyle w:val="17"/>
              <w:keepNext w:val="0"/>
              <w:keepLines w:val="0"/>
              <w:pageBreakBefore w:val="0"/>
              <w:widowControl w:val="0"/>
              <w:kinsoku/>
              <w:wordWrap/>
              <w:overflowPunct/>
              <w:topLinePunct w:val="0"/>
              <w:autoSpaceDE/>
              <w:autoSpaceDN/>
              <w:bidi w:val="0"/>
              <w:adjustRightInd/>
              <w:snapToGrid/>
              <w:ind w:left="0" w:leftChars="0" w:firstLine="440" w:firstLineChars="200"/>
              <w:jc w:val="left"/>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r>
              <w:rPr>
                <w:rStyle w:val="44"/>
                <w:rFonts w:hint="default" w:ascii="Times New Roman" w:hAnsi="Times New Roman" w:eastAsia="宋体" w:cs="Times New Roman"/>
                <w:color w:val="auto"/>
                <w:spacing w:val="0"/>
                <w:sz w:val="22"/>
                <w:szCs w:val="22"/>
                <w:highlight w:val="none"/>
                <w:vertAlign w:val="baseline"/>
                <w:lang w:val="en-US" w:eastAsia="zh-CN"/>
              </w:rPr>
              <w:t>进口底高程</w:t>
            </w:r>
          </w:p>
        </w:tc>
        <w:tc>
          <w:tcPr>
            <w:tcW w:w="528" w:type="pct"/>
          </w:tcPr>
          <w:p>
            <w:pPr>
              <w:keepNext w:val="0"/>
              <w:keepLines w:val="0"/>
              <w:pageBreakBefore w:val="0"/>
              <w:widowControl w:val="0"/>
              <w:kinsoku/>
              <w:wordWrap/>
              <w:overflowPunct/>
              <w:topLinePunct w:val="0"/>
              <w:autoSpaceDE/>
              <w:autoSpaceDN/>
              <w:bidi w:val="0"/>
              <w:adjustRightInd/>
              <w:snapToGrid/>
              <w:ind w:firstLine="440" w:firstLineChars="200"/>
              <w:jc w:val="center"/>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r>
              <w:rPr>
                <w:rStyle w:val="44"/>
                <w:rFonts w:hint="eastAsia" w:eastAsia="宋体" w:cs="Times New Roman"/>
                <w:color w:val="auto"/>
                <w:spacing w:val="0"/>
                <w:sz w:val="22"/>
                <w:szCs w:val="22"/>
                <w:highlight w:val="none"/>
                <w:vertAlign w:val="baseline"/>
                <w:lang w:val="en-US" w:eastAsia="zh-CN"/>
              </w:rPr>
              <w:t>m</w:t>
            </w:r>
          </w:p>
        </w:tc>
        <w:tc>
          <w:tcPr>
            <w:tcW w:w="1281" w:type="pct"/>
          </w:tcPr>
          <w:p>
            <w:pPr>
              <w:pStyle w:val="17"/>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Style w:val="44"/>
                <w:rFonts w:hint="eastAsia" w:ascii="仿宋_GB2312" w:hAnsi="仿宋_GB2312" w:eastAsia="仿宋_GB2312" w:cs="仿宋_GB2312"/>
                <w:color w:val="auto"/>
                <w:spacing w:val="0"/>
                <w:sz w:val="22"/>
                <w:szCs w:val="22"/>
                <w:highlight w:val="none"/>
                <w:vertAlign w:val="baseline"/>
                <w:lang w:val="en-US" w:eastAsia="zh-CN"/>
              </w:rPr>
            </w:pPr>
            <w:r>
              <w:rPr>
                <w:rStyle w:val="44"/>
                <w:rFonts w:hint="default" w:ascii="仿宋_GB2312" w:hAnsi="仿宋_GB2312" w:eastAsia="仿宋_GB2312" w:cs="仿宋_GB2312"/>
                <w:color w:val="auto"/>
                <w:spacing w:val="0"/>
                <w:sz w:val="22"/>
                <w:szCs w:val="22"/>
                <w:highlight w:val="none"/>
                <w:vertAlign w:val="baseline"/>
                <w:lang w:val="en-US" w:eastAsia="zh-CN"/>
              </w:rPr>
              <w:t>206.75</w:t>
            </w:r>
          </w:p>
        </w:tc>
        <w:tc>
          <w:tcPr>
            <w:tcW w:w="1312" w:type="pct"/>
          </w:tcPr>
          <w:p>
            <w:pPr>
              <w:pStyle w:val="17"/>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77" w:type="pct"/>
          </w:tcPr>
          <w:p>
            <w:pPr>
              <w:pStyle w:val="17"/>
              <w:keepNext w:val="0"/>
              <w:keepLines w:val="0"/>
              <w:pageBreakBefore w:val="0"/>
              <w:widowControl w:val="0"/>
              <w:kinsoku/>
              <w:wordWrap/>
              <w:overflowPunct/>
              <w:topLinePunct w:val="0"/>
              <w:autoSpaceDE/>
              <w:autoSpaceDN/>
              <w:bidi w:val="0"/>
              <w:adjustRightInd/>
              <w:snapToGrid/>
              <w:ind w:left="0" w:leftChars="0" w:firstLine="440" w:firstLineChars="200"/>
              <w:jc w:val="left"/>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r>
              <w:rPr>
                <w:rStyle w:val="44"/>
                <w:rFonts w:hint="default" w:ascii="Times New Roman" w:hAnsi="Times New Roman" w:eastAsia="宋体" w:cs="Times New Roman"/>
                <w:color w:val="auto"/>
                <w:spacing w:val="0"/>
                <w:sz w:val="22"/>
                <w:szCs w:val="22"/>
                <w:highlight w:val="none"/>
                <w:vertAlign w:val="baseline"/>
                <w:lang w:val="en-US" w:eastAsia="zh-CN"/>
              </w:rPr>
              <w:t>涵管全长</w:t>
            </w:r>
          </w:p>
        </w:tc>
        <w:tc>
          <w:tcPr>
            <w:tcW w:w="528" w:type="pct"/>
          </w:tcPr>
          <w:p>
            <w:pPr>
              <w:keepNext w:val="0"/>
              <w:keepLines w:val="0"/>
              <w:pageBreakBefore w:val="0"/>
              <w:widowControl w:val="0"/>
              <w:kinsoku/>
              <w:wordWrap/>
              <w:overflowPunct/>
              <w:topLinePunct w:val="0"/>
              <w:autoSpaceDE/>
              <w:autoSpaceDN/>
              <w:bidi w:val="0"/>
              <w:adjustRightInd/>
              <w:snapToGrid/>
              <w:ind w:firstLine="440" w:firstLineChars="200"/>
              <w:jc w:val="center"/>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r>
              <w:rPr>
                <w:rStyle w:val="44"/>
                <w:rFonts w:hint="eastAsia" w:eastAsia="宋体" w:cs="Times New Roman"/>
                <w:color w:val="auto"/>
                <w:spacing w:val="0"/>
                <w:sz w:val="22"/>
                <w:szCs w:val="22"/>
                <w:highlight w:val="none"/>
                <w:vertAlign w:val="baseline"/>
                <w:lang w:val="en-US" w:eastAsia="zh-CN"/>
              </w:rPr>
              <w:t>m</w:t>
            </w:r>
          </w:p>
        </w:tc>
        <w:tc>
          <w:tcPr>
            <w:tcW w:w="1281" w:type="pct"/>
          </w:tcPr>
          <w:p>
            <w:pPr>
              <w:pStyle w:val="17"/>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Style w:val="44"/>
                <w:rFonts w:hint="default" w:ascii="仿宋_GB2312" w:hAnsi="仿宋_GB2312" w:eastAsia="仿宋_GB2312" w:cs="仿宋_GB2312"/>
                <w:color w:val="auto"/>
                <w:spacing w:val="0"/>
                <w:sz w:val="22"/>
                <w:szCs w:val="22"/>
                <w:highlight w:val="none"/>
                <w:vertAlign w:val="baseline"/>
                <w:lang w:val="en-US" w:eastAsia="zh-CN"/>
              </w:rPr>
            </w:pPr>
            <w:r>
              <w:rPr>
                <w:rStyle w:val="44"/>
                <w:rFonts w:hint="eastAsia" w:ascii="仿宋_GB2312" w:hAnsi="仿宋_GB2312" w:eastAsia="仿宋_GB2312" w:cs="仿宋_GB2312"/>
                <w:color w:val="auto"/>
                <w:spacing w:val="0"/>
                <w:sz w:val="22"/>
                <w:szCs w:val="22"/>
                <w:highlight w:val="none"/>
                <w:vertAlign w:val="baseline"/>
                <w:lang w:val="en-US" w:eastAsia="zh-CN"/>
              </w:rPr>
              <w:t>160</w:t>
            </w:r>
          </w:p>
        </w:tc>
        <w:tc>
          <w:tcPr>
            <w:tcW w:w="1312" w:type="pct"/>
          </w:tcPr>
          <w:p>
            <w:pPr>
              <w:pStyle w:val="17"/>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7" w:type="pct"/>
          </w:tcPr>
          <w:p>
            <w:pPr>
              <w:pStyle w:val="17"/>
              <w:keepNext w:val="0"/>
              <w:keepLines w:val="0"/>
              <w:pageBreakBefore w:val="0"/>
              <w:widowControl w:val="0"/>
              <w:kinsoku/>
              <w:wordWrap/>
              <w:overflowPunct/>
              <w:topLinePunct w:val="0"/>
              <w:autoSpaceDE/>
              <w:autoSpaceDN/>
              <w:bidi w:val="0"/>
              <w:adjustRightInd/>
              <w:snapToGrid/>
              <w:ind w:left="0" w:leftChars="0" w:firstLine="0" w:firstLineChars="0"/>
              <w:jc w:val="left"/>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r>
              <w:rPr>
                <w:rStyle w:val="44"/>
                <w:rFonts w:hint="eastAsia" w:eastAsia="宋体" w:cs="Times New Roman"/>
                <w:b/>
                <w:bCs/>
                <w:color w:val="auto"/>
                <w:spacing w:val="0"/>
                <w:sz w:val="22"/>
                <w:szCs w:val="22"/>
                <w:highlight w:val="none"/>
                <w:vertAlign w:val="baseline"/>
                <w:lang w:val="en-US" w:eastAsia="zh-CN"/>
              </w:rPr>
              <w:t>四</w:t>
            </w:r>
            <w:r>
              <w:rPr>
                <w:rStyle w:val="44"/>
                <w:rFonts w:hint="default" w:ascii="Times New Roman" w:hAnsi="Times New Roman" w:eastAsia="宋体" w:cs="Times New Roman"/>
                <w:b/>
                <w:bCs/>
                <w:color w:val="auto"/>
                <w:spacing w:val="0"/>
                <w:sz w:val="22"/>
                <w:szCs w:val="22"/>
                <w:highlight w:val="none"/>
                <w:vertAlign w:val="baseline"/>
                <w:lang w:val="en-US" w:eastAsia="zh-CN"/>
              </w:rPr>
              <w:t>、</w:t>
            </w:r>
            <w:r>
              <w:rPr>
                <w:rStyle w:val="44"/>
                <w:rFonts w:hint="eastAsia" w:eastAsia="宋体" w:cs="Times New Roman"/>
                <w:b/>
                <w:bCs/>
                <w:color w:val="auto"/>
                <w:spacing w:val="0"/>
                <w:sz w:val="22"/>
                <w:szCs w:val="22"/>
                <w:highlight w:val="none"/>
                <w:vertAlign w:val="baseline"/>
                <w:lang w:val="en-US" w:eastAsia="zh-CN"/>
              </w:rPr>
              <w:t>工程占地</w:t>
            </w:r>
          </w:p>
        </w:tc>
        <w:tc>
          <w:tcPr>
            <w:tcW w:w="528" w:type="pct"/>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p>
        </w:tc>
        <w:tc>
          <w:tcPr>
            <w:tcW w:w="1281" w:type="pct"/>
          </w:tcPr>
          <w:p>
            <w:pPr>
              <w:pStyle w:val="17"/>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Style w:val="44"/>
                <w:rFonts w:hint="eastAsia" w:ascii="仿宋_GB2312" w:hAnsi="仿宋_GB2312" w:eastAsia="仿宋_GB2312" w:cs="仿宋_GB2312"/>
                <w:color w:val="auto"/>
                <w:spacing w:val="0"/>
                <w:sz w:val="22"/>
                <w:szCs w:val="22"/>
                <w:highlight w:val="none"/>
                <w:vertAlign w:val="baseline"/>
                <w:lang w:val="en-US" w:eastAsia="zh-CN"/>
              </w:rPr>
            </w:pPr>
          </w:p>
        </w:tc>
        <w:tc>
          <w:tcPr>
            <w:tcW w:w="1312" w:type="pct"/>
          </w:tcPr>
          <w:p>
            <w:pPr>
              <w:pStyle w:val="17"/>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7" w:type="pct"/>
          </w:tcPr>
          <w:p>
            <w:pPr>
              <w:pStyle w:val="17"/>
              <w:keepNext w:val="0"/>
              <w:keepLines w:val="0"/>
              <w:pageBreakBefore w:val="0"/>
              <w:widowControl w:val="0"/>
              <w:kinsoku/>
              <w:wordWrap/>
              <w:overflowPunct/>
              <w:topLinePunct w:val="0"/>
              <w:autoSpaceDE/>
              <w:autoSpaceDN/>
              <w:bidi w:val="0"/>
              <w:adjustRightInd/>
              <w:snapToGrid/>
              <w:ind w:left="0" w:leftChars="0" w:firstLine="0" w:firstLineChars="0"/>
              <w:jc w:val="left"/>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r>
              <w:rPr>
                <w:rStyle w:val="44"/>
                <w:rFonts w:hint="default" w:ascii="Times New Roman" w:hAnsi="Times New Roman" w:eastAsia="宋体" w:cs="Times New Roman"/>
                <w:color w:val="auto"/>
                <w:spacing w:val="0"/>
                <w:sz w:val="22"/>
                <w:szCs w:val="22"/>
                <w:highlight w:val="none"/>
                <w:vertAlign w:val="baseline"/>
                <w:lang w:val="en-US" w:eastAsia="zh-CN"/>
              </w:rPr>
              <w:t>1.永久</w:t>
            </w:r>
            <w:r>
              <w:rPr>
                <w:rStyle w:val="44"/>
                <w:rFonts w:hint="eastAsia" w:ascii="Times New Roman" w:hAnsi="Times New Roman" w:eastAsia="宋体" w:cs="Times New Roman"/>
                <w:color w:val="auto"/>
                <w:spacing w:val="0"/>
                <w:sz w:val="22"/>
                <w:szCs w:val="22"/>
                <w:highlight w:val="none"/>
                <w:vertAlign w:val="baseline"/>
                <w:lang w:val="en-US" w:eastAsia="zh-CN"/>
              </w:rPr>
              <w:t>用地</w:t>
            </w:r>
            <w:r>
              <w:rPr>
                <w:rStyle w:val="44"/>
                <w:rFonts w:hint="default" w:ascii="Times New Roman" w:hAnsi="Times New Roman" w:eastAsia="宋体" w:cs="Times New Roman"/>
                <w:color w:val="auto"/>
                <w:spacing w:val="0"/>
                <w:sz w:val="22"/>
                <w:szCs w:val="22"/>
                <w:highlight w:val="none"/>
                <w:vertAlign w:val="baseline"/>
                <w:lang w:val="en-US" w:eastAsia="zh-CN"/>
              </w:rPr>
              <w:t>面积</w:t>
            </w:r>
          </w:p>
        </w:tc>
        <w:tc>
          <w:tcPr>
            <w:tcW w:w="528" w:type="pct"/>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r>
              <w:rPr>
                <w:rStyle w:val="44"/>
                <w:rFonts w:hint="default" w:ascii="Times New Roman" w:hAnsi="Times New Roman" w:eastAsia="宋体" w:cs="Times New Roman"/>
                <w:color w:val="auto"/>
                <w:spacing w:val="0"/>
                <w:sz w:val="22"/>
                <w:szCs w:val="22"/>
                <w:highlight w:val="none"/>
                <w:vertAlign w:val="baseline"/>
                <w:lang w:val="en-US" w:eastAsia="zh-CN"/>
              </w:rPr>
              <w:t>亩</w:t>
            </w:r>
          </w:p>
        </w:tc>
        <w:tc>
          <w:tcPr>
            <w:tcW w:w="1281" w:type="pct"/>
          </w:tcPr>
          <w:p>
            <w:pPr>
              <w:pStyle w:val="17"/>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Style w:val="44"/>
                <w:rFonts w:hint="default" w:ascii="仿宋_GB2312" w:hAnsi="仿宋_GB2312" w:eastAsia="仿宋_GB2312" w:cs="仿宋_GB2312"/>
                <w:color w:val="auto"/>
                <w:spacing w:val="0"/>
                <w:sz w:val="22"/>
                <w:szCs w:val="22"/>
                <w:highlight w:val="none"/>
                <w:vertAlign w:val="baseline"/>
                <w:lang w:val="en-US" w:eastAsia="zh-CN"/>
              </w:rPr>
            </w:pPr>
            <w:r>
              <w:rPr>
                <w:rStyle w:val="44"/>
                <w:rFonts w:hint="eastAsia" w:ascii="仿宋_GB2312" w:hAnsi="仿宋_GB2312" w:eastAsia="仿宋_GB2312" w:cs="仿宋_GB2312"/>
                <w:color w:val="auto"/>
                <w:spacing w:val="0"/>
                <w:sz w:val="22"/>
                <w:szCs w:val="22"/>
                <w:highlight w:val="none"/>
                <w:vertAlign w:val="baseline"/>
                <w:lang w:val="en-US" w:eastAsia="zh-CN"/>
              </w:rPr>
              <w:t>3.74</w:t>
            </w:r>
          </w:p>
        </w:tc>
        <w:tc>
          <w:tcPr>
            <w:tcW w:w="1312" w:type="pct"/>
          </w:tcPr>
          <w:p>
            <w:pPr>
              <w:pStyle w:val="17"/>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7" w:type="pct"/>
          </w:tcPr>
          <w:p>
            <w:pPr>
              <w:pStyle w:val="17"/>
              <w:keepNext w:val="0"/>
              <w:keepLines w:val="0"/>
              <w:pageBreakBefore w:val="0"/>
              <w:widowControl w:val="0"/>
              <w:kinsoku/>
              <w:wordWrap/>
              <w:overflowPunct/>
              <w:topLinePunct w:val="0"/>
              <w:autoSpaceDE/>
              <w:autoSpaceDN/>
              <w:bidi w:val="0"/>
              <w:adjustRightInd/>
              <w:snapToGrid/>
              <w:ind w:left="0" w:leftChars="0" w:firstLine="0" w:firstLineChars="0"/>
              <w:jc w:val="left"/>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r>
              <w:rPr>
                <w:rStyle w:val="44"/>
                <w:rFonts w:hint="default" w:ascii="Times New Roman" w:hAnsi="Times New Roman" w:eastAsia="宋体" w:cs="Times New Roman"/>
                <w:color w:val="auto"/>
                <w:spacing w:val="0"/>
                <w:sz w:val="22"/>
                <w:szCs w:val="22"/>
                <w:highlight w:val="none"/>
                <w:vertAlign w:val="baseline"/>
                <w:lang w:val="en-US" w:eastAsia="zh-CN"/>
              </w:rPr>
              <w:t>2.临时</w:t>
            </w:r>
            <w:r>
              <w:rPr>
                <w:rStyle w:val="44"/>
                <w:rFonts w:hint="eastAsia" w:ascii="Times New Roman" w:hAnsi="Times New Roman" w:eastAsia="宋体" w:cs="Times New Roman"/>
                <w:color w:val="auto"/>
                <w:spacing w:val="0"/>
                <w:sz w:val="22"/>
                <w:szCs w:val="22"/>
                <w:highlight w:val="none"/>
                <w:vertAlign w:val="baseline"/>
                <w:lang w:val="en-US" w:eastAsia="zh-CN"/>
              </w:rPr>
              <w:t>用地</w:t>
            </w:r>
            <w:r>
              <w:rPr>
                <w:rStyle w:val="44"/>
                <w:rFonts w:hint="default" w:ascii="Times New Roman" w:hAnsi="Times New Roman" w:eastAsia="宋体" w:cs="Times New Roman"/>
                <w:color w:val="auto"/>
                <w:spacing w:val="0"/>
                <w:sz w:val="22"/>
                <w:szCs w:val="22"/>
                <w:highlight w:val="none"/>
                <w:vertAlign w:val="baseline"/>
                <w:lang w:val="en-US" w:eastAsia="zh-CN"/>
              </w:rPr>
              <w:t>面积</w:t>
            </w:r>
          </w:p>
        </w:tc>
        <w:tc>
          <w:tcPr>
            <w:tcW w:w="528" w:type="pct"/>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r>
              <w:rPr>
                <w:rStyle w:val="44"/>
                <w:rFonts w:hint="default" w:ascii="Times New Roman" w:hAnsi="Times New Roman" w:eastAsia="宋体" w:cs="Times New Roman"/>
                <w:color w:val="auto"/>
                <w:spacing w:val="0"/>
                <w:sz w:val="22"/>
                <w:szCs w:val="22"/>
                <w:highlight w:val="none"/>
                <w:vertAlign w:val="baseline"/>
                <w:lang w:val="en-US" w:eastAsia="zh-CN"/>
              </w:rPr>
              <w:t>亩</w:t>
            </w:r>
          </w:p>
        </w:tc>
        <w:tc>
          <w:tcPr>
            <w:tcW w:w="1281" w:type="pct"/>
          </w:tcPr>
          <w:p>
            <w:pPr>
              <w:pStyle w:val="17"/>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Style w:val="44"/>
                <w:rFonts w:hint="default" w:ascii="仿宋_GB2312" w:hAnsi="仿宋_GB2312" w:eastAsia="仿宋_GB2312" w:cs="仿宋_GB2312"/>
                <w:color w:val="auto"/>
                <w:spacing w:val="0"/>
                <w:sz w:val="22"/>
                <w:szCs w:val="22"/>
                <w:highlight w:val="none"/>
                <w:vertAlign w:val="baseline"/>
                <w:lang w:val="en-US" w:eastAsia="zh-CN"/>
              </w:rPr>
            </w:pPr>
            <w:r>
              <w:rPr>
                <w:rStyle w:val="44"/>
                <w:rFonts w:hint="eastAsia" w:ascii="仿宋_GB2312" w:hAnsi="仿宋_GB2312" w:eastAsia="仿宋_GB2312" w:cs="仿宋_GB2312"/>
                <w:color w:val="auto"/>
                <w:spacing w:val="0"/>
                <w:sz w:val="22"/>
                <w:szCs w:val="22"/>
                <w:highlight w:val="none"/>
                <w:vertAlign w:val="baseline"/>
                <w:lang w:val="en-US" w:eastAsia="zh-CN"/>
              </w:rPr>
              <w:t>2.35</w:t>
            </w:r>
          </w:p>
        </w:tc>
        <w:tc>
          <w:tcPr>
            <w:tcW w:w="1312" w:type="pct"/>
          </w:tcPr>
          <w:p>
            <w:pPr>
              <w:pStyle w:val="17"/>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77" w:type="pct"/>
          </w:tcPr>
          <w:p>
            <w:pPr>
              <w:pStyle w:val="17"/>
              <w:keepNext w:val="0"/>
              <w:keepLines w:val="0"/>
              <w:pageBreakBefore w:val="0"/>
              <w:widowControl w:val="0"/>
              <w:kinsoku/>
              <w:wordWrap/>
              <w:overflowPunct/>
              <w:topLinePunct w:val="0"/>
              <w:autoSpaceDE/>
              <w:autoSpaceDN/>
              <w:bidi w:val="0"/>
              <w:adjustRightInd/>
              <w:snapToGrid/>
              <w:ind w:left="0" w:leftChars="0" w:firstLine="0" w:firstLineChars="0"/>
              <w:jc w:val="left"/>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r>
              <w:rPr>
                <w:rStyle w:val="44"/>
                <w:rFonts w:hint="default" w:ascii="Times New Roman" w:hAnsi="Times New Roman" w:eastAsia="宋体" w:cs="Times New Roman"/>
                <w:b/>
                <w:bCs/>
                <w:color w:val="auto"/>
                <w:spacing w:val="0"/>
                <w:sz w:val="22"/>
                <w:szCs w:val="22"/>
                <w:highlight w:val="none"/>
                <w:vertAlign w:val="baseline"/>
                <w:lang w:val="en-US" w:eastAsia="zh-CN"/>
              </w:rPr>
              <w:t>五、施工</w:t>
            </w:r>
          </w:p>
        </w:tc>
        <w:tc>
          <w:tcPr>
            <w:tcW w:w="528" w:type="pct"/>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p>
        </w:tc>
        <w:tc>
          <w:tcPr>
            <w:tcW w:w="1281" w:type="pct"/>
          </w:tcPr>
          <w:p>
            <w:pPr>
              <w:pStyle w:val="17"/>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Style w:val="44"/>
                <w:rFonts w:hint="eastAsia" w:ascii="仿宋_GB2312" w:hAnsi="仿宋_GB2312" w:eastAsia="仿宋_GB2312" w:cs="仿宋_GB2312"/>
                <w:color w:val="auto"/>
                <w:spacing w:val="0"/>
                <w:sz w:val="22"/>
                <w:szCs w:val="22"/>
                <w:highlight w:val="none"/>
                <w:vertAlign w:val="baseline"/>
                <w:lang w:val="en-US" w:eastAsia="zh-CN"/>
              </w:rPr>
            </w:pPr>
          </w:p>
        </w:tc>
        <w:tc>
          <w:tcPr>
            <w:tcW w:w="1312" w:type="pct"/>
          </w:tcPr>
          <w:p>
            <w:pPr>
              <w:pStyle w:val="17"/>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7" w:type="pct"/>
          </w:tcPr>
          <w:p>
            <w:pPr>
              <w:pStyle w:val="17"/>
              <w:keepNext w:val="0"/>
              <w:keepLines w:val="0"/>
              <w:pageBreakBefore w:val="0"/>
              <w:widowControl w:val="0"/>
              <w:kinsoku/>
              <w:wordWrap/>
              <w:overflowPunct/>
              <w:topLinePunct w:val="0"/>
              <w:autoSpaceDE/>
              <w:autoSpaceDN/>
              <w:bidi w:val="0"/>
              <w:adjustRightInd/>
              <w:snapToGrid/>
              <w:ind w:left="0" w:leftChars="0" w:firstLine="0" w:firstLineChars="0"/>
              <w:jc w:val="left"/>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r>
              <w:rPr>
                <w:rStyle w:val="44"/>
                <w:rFonts w:hint="default" w:ascii="Times New Roman" w:hAnsi="Times New Roman" w:eastAsia="宋体" w:cs="Times New Roman"/>
                <w:color w:val="auto"/>
                <w:spacing w:val="0"/>
                <w:sz w:val="22"/>
                <w:szCs w:val="22"/>
                <w:highlight w:val="none"/>
                <w:vertAlign w:val="baseline"/>
                <w:lang w:val="en-US" w:eastAsia="zh-CN"/>
              </w:rPr>
              <w:t>1.主体工程量</w:t>
            </w:r>
          </w:p>
        </w:tc>
        <w:tc>
          <w:tcPr>
            <w:tcW w:w="528" w:type="pct"/>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p>
        </w:tc>
        <w:tc>
          <w:tcPr>
            <w:tcW w:w="1281" w:type="pct"/>
          </w:tcPr>
          <w:p>
            <w:pPr>
              <w:pStyle w:val="17"/>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Style w:val="44"/>
                <w:rFonts w:hint="eastAsia" w:ascii="仿宋_GB2312" w:hAnsi="仿宋_GB2312" w:eastAsia="仿宋_GB2312" w:cs="仿宋_GB2312"/>
                <w:color w:val="auto"/>
                <w:spacing w:val="0"/>
                <w:sz w:val="22"/>
                <w:szCs w:val="22"/>
                <w:highlight w:val="none"/>
                <w:vertAlign w:val="baseline"/>
                <w:lang w:val="en-US" w:eastAsia="zh-CN"/>
              </w:rPr>
            </w:pPr>
          </w:p>
        </w:tc>
        <w:tc>
          <w:tcPr>
            <w:tcW w:w="1312" w:type="pct"/>
          </w:tcPr>
          <w:p>
            <w:pPr>
              <w:pStyle w:val="17"/>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7" w:type="pct"/>
            <w:vAlign w:val="center"/>
          </w:tcPr>
          <w:p>
            <w:pPr>
              <w:keepNext w:val="0"/>
              <w:keepLines w:val="0"/>
              <w:pageBreakBefore w:val="0"/>
              <w:widowControl/>
              <w:kinsoku/>
              <w:wordWrap/>
              <w:overflowPunct/>
              <w:topLinePunct w:val="0"/>
              <w:autoSpaceDE/>
              <w:autoSpaceDN/>
              <w:bidi w:val="0"/>
              <w:adjustRightInd/>
              <w:snapToGrid/>
              <w:spacing w:before="60" w:beforeLines="25" w:after="60" w:afterLines="25" w:line="0" w:lineRule="atLeast"/>
              <w:jc w:val="both"/>
              <w:textAlignment w:val="auto"/>
              <w:rPr>
                <w:rStyle w:val="44"/>
                <w:rFonts w:hint="default" w:ascii="Times New Roman" w:hAnsi="Times New Roman" w:eastAsia="宋体" w:cs="Times New Roman"/>
                <w:color w:val="auto"/>
                <w:spacing w:val="0"/>
                <w:kern w:val="2"/>
                <w:sz w:val="22"/>
                <w:szCs w:val="22"/>
                <w:highlight w:val="none"/>
                <w:vertAlign w:val="baseline"/>
                <w:lang w:val="en-US" w:eastAsia="zh-CN" w:bidi="ar-SA"/>
              </w:rPr>
            </w:pPr>
            <w:r>
              <w:rPr>
                <w:rStyle w:val="44"/>
                <w:rFonts w:hint="default" w:ascii="Times New Roman" w:hAnsi="Times New Roman" w:eastAsia="宋体" w:cs="Times New Roman"/>
                <w:color w:val="auto"/>
                <w:spacing w:val="0"/>
                <w:kern w:val="2"/>
                <w:sz w:val="22"/>
                <w:szCs w:val="22"/>
                <w:highlight w:val="none"/>
                <w:vertAlign w:val="baseline"/>
                <w:lang w:val="en-US" w:eastAsia="zh-CN" w:bidi="ar-SA"/>
              </w:rPr>
              <w:t>土方开挖</w:t>
            </w:r>
          </w:p>
        </w:tc>
        <w:tc>
          <w:tcPr>
            <w:tcW w:w="528" w:type="pct"/>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r>
              <w:rPr>
                <w:rStyle w:val="44"/>
                <w:rFonts w:hint="eastAsia" w:eastAsia="宋体" w:cs="Times New Roman"/>
                <w:color w:val="auto"/>
                <w:spacing w:val="0"/>
                <w:sz w:val="22"/>
                <w:szCs w:val="22"/>
                <w:highlight w:val="none"/>
                <w:vertAlign w:val="baseline"/>
                <w:lang w:val="en-US" w:eastAsia="zh-CN"/>
              </w:rPr>
              <w:t>万</w:t>
            </w:r>
            <w:r>
              <w:rPr>
                <w:rStyle w:val="44"/>
                <w:rFonts w:hint="default" w:ascii="Times New Roman" w:hAnsi="Times New Roman" w:eastAsia="宋体" w:cs="Times New Roman"/>
                <w:color w:val="auto"/>
                <w:spacing w:val="0"/>
                <w:sz w:val="22"/>
                <w:szCs w:val="22"/>
                <w:highlight w:val="none"/>
                <w:vertAlign w:val="baseline"/>
                <w:lang w:val="en-US" w:eastAsia="zh-CN"/>
              </w:rPr>
              <w:t>m</w:t>
            </w:r>
            <w:r>
              <w:rPr>
                <w:rStyle w:val="44"/>
                <w:rFonts w:hint="default" w:ascii="Times New Roman" w:hAnsi="Times New Roman" w:eastAsia="宋体" w:cs="Times New Roman"/>
                <w:color w:val="auto"/>
                <w:spacing w:val="0"/>
                <w:sz w:val="22"/>
                <w:szCs w:val="22"/>
                <w:highlight w:val="none"/>
                <w:vertAlign w:val="superscript"/>
                <w:lang w:val="en-US" w:eastAsia="zh-CN"/>
              </w:rPr>
              <w:t>3</w:t>
            </w:r>
          </w:p>
        </w:tc>
        <w:tc>
          <w:tcPr>
            <w:tcW w:w="1281" w:type="pct"/>
            <w:vAlign w:val="center"/>
          </w:tcPr>
          <w:p>
            <w:pPr>
              <w:keepNext w:val="0"/>
              <w:keepLines w:val="0"/>
              <w:pageBreakBefore w:val="0"/>
              <w:widowControl/>
              <w:kinsoku/>
              <w:wordWrap/>
              <w:overflowPunct/>
              <w:topLinePunct w:val="0"/>
              <w:autoSpaceDE/>
              <w:autoSpaceDN/>
              <w:bidi w:val="0"/>
              <w:adjustRightInd/>
              <w:snapToGrid/>
              <w:spacing w:before="60" w:beforeLines="25" w:after="60" w:afterLines="25" w:line="0" w:lineRule="atLeast"/>
              <w:ind w:left="0" w:leftChars="0" w:firstLine="0" w:firstLineChars="0"/>
              <w:jc w:val="center"/>
              <w:textAlignment w:val="auto"/>
              <w:rPr>
                <w:rStyle w:val="44"/>
                <w:rFonts w:hint="default" w:ascii="仿宋_GB2312" w:hAnsi="仿宋_GB2312" w:eastAsia="仿宋_GB2312" w:cs="仿宋_GB2312"/>
                <w:color w:val="auto"/>
                <w:spacing w:val="0"/>
                <w:kern w:val="2"/>
                <w:sz w:val="22"/>
                <w:szCs w:val="22"/>
                <w:highlight w:val="none"/>
                <w:vertAlign w:val="baseline"/>
                <w:lang w:val="en-US" w:eastAsia="zh-CN" w:bidi="ar-SA"/>
              </w:rPr>
            </w:pPr>
            <w:r>
              <w:rPr>
                <w:rStyle w:val="44"/>
                <w:rFonts w:hint="eastAsia" w:ascii="仿宋_GB2312" w:hAnsi="仿宋_GB2312" w:eastAsia="仿宋_GB2312" w:cs="仿宋_GB2312"/>
                <w:color w:val="auto"/>
                <w:spacing w:val="0"/>
                <w:kern w:val="2"/>
                <w:sz w:val="22"/>
                <w:szCs w:val="22"/>
                <w:highlight w:val="none"/>
                <w:vertAlign w:val="baseline"/>
                <w:lang w:val="en-US" w:eastAsia="zh-CN" w:bidi="ar-SA"/>
              </w:rPr>
              <w:t>1.68</w:t>
            </w:r>
          </w:p>
        </w:tc>
        <w:tc>
          <w:tcPr>
            <w:tcW w:w="1312" w:type="pct"/>
          </w:tcPr>
          <w:p>
            <w:pPr>
              <w:pStyle w:val="17"/>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7" w:type="pct"/>
            <w:vAlign w:val="center"/>
          </w:tcPr>
          <w:p>
            <w:pPr>
              <w:keepNext w:val="0"/>
              <w:keepLines w:val="0"/>
              <w:pageBreakBefore w:val="0"/>
              <w:widowControl/>
              <w:kinsoku/>
              <w:wordWrap/>
              <w:overflowPunct/>
              <w:topLinePunct w:val="0"/>
              <w:autoSpaceDE/>
              <w:autoSpaceDN/>
              <w:bidi w:val="0"/>
              <w:adjustRightInd/>
              <w:snapToGrid/>
              <w:spacing w:before="60" w:beforeLines="25" w:after="60" w:afterLines="25" w:line="0" w:lineRule="atLeast"/>
              <w:ind w:left="480" w:leftChars="200" w:firstLine="0" w:firstLineChars="0"/>
              <w:jc w:val="both"/>
              <w:textAlignment w:val="auto"/>
              <w:rPr>
                <w:rStyle w:val="44"/>
                <w:rFonts w:hint="default" w:ascii="Times New Roman" w:hAnsi="Times New Roman" w:eastAsia="宋体" w:cs="Times New Roman"/>
                <w:color w:val="auto"/>
                <w:spacing w:val="0"/>
                <w:kern w:val="2"/>
                <w:sz w:val="22"/>
                <w:szCs w:val="22"/>
                <w:highlight w:val="none"/>
                <w:vertAlign w:val="baseline"/>
                <w:lang w:val="en-US" w:eastAsia="zh-CN" w:bidi="ar-SA"/>
              </w:rPr>
            </w:pPr>
            <w:r>
              <w:rPr>
                <w:rStyle w:val="44"/>
                <w:rFonts w:hint="default" w:ascii="Times New Roman" w:hAnsi="Times New Roman" w:eastAsia="宋体" w:cs="Times New Roman"/>
                <w:color w:val="auto"/>
                <w:spacing w:val="0"/>
                <w:kern w:val="2"/>
                <w:sz w:val="22"/>
                <w:szCs w:val="22"/>
                <w:highlight w:val="none"/>
                <w:vertAlign w:val="baseline"/>
                <w:lang w:val="en-US" w:eastAsia="zh-CN" w:bidi="ar-SA"/>
              </w:rPr>
              <w:t>土方回填</w:t>
            </w:r>
          </w:p>
        </w:tc>
        <w:tc>
          <w:tcPr>
            <w:tcW w:w="528" w:type="pct"/>
          </w:tcPr>
          <w:p>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r>
              <w:rPr>
                <w:rStyle w:val="44"/>
                <w:rFonts w:hint="eastAsia" w:eastAsia="宋体" w:cs="Times New Roman"/>
                <w:color w:val="auto"/>
                <w:spacing w:val="0"/>
                <w:sz w:val="22"/>
                <w:szCs w:val="22"/>
                <w:highlight w:val="none"/>
                <w:vertAlign w:val="baseline"/>
                <w:lang w:val="en-US" w:eastAsia="zh-CN"/>
              </w:rPr>
              <w:t>万</w:t>
            </w:r>
            <w:r>
              <w:rPr>
                <w:rStyle w:val="44"/>
                <w:rFonts w:hint="default" w:ascii="Times New Roman" w:hAnsi="Times New Roman" w:eastAsia="宋体" w:cs="Times New Roman"/>
                <w:color w:val="auto"/>
                <w:spacing w:val="0"/>
                <w:sz w:val="22"/>
                <w:szCs w:val="22"/>
                <w:highlight w:val="none"/>
                <w:vertAlign w:val="baseline"/>
                <w:lang w:val="en-US" w:eastAsia="zh-CN"/>
              </w:rPr>
              <w:t>m</w:t>
            </w:r>
            <w:r>
              <w:rPr>
                <w:rStyle w:val="44"/>
                <w:rFonts w:hint="default" w:ascii="Times New Roman" w:hAnsi="Times New Roman" w:eastAsia="宋体" w:cs="Times New Roman"/>
                <w:color w:val="auto"/>
                <w:spacing w:val="0"/>
                <w:sz w:val="22"/>
                <w:szCs w:val="22"/>
                <w:highlight w:val="none"/>
                <w:vertAlign w:val="superscript"/>
                <w:lang w:val="en-US" w:eastAsia="zh-CN"/>
              </w:rPr>
              <w:t>3</w:t>
            </w:r>
          </w:p>
        </w:tc>
        <w:tc>
          <w:tcPr>
            <w:tcW w:w="1281" w:type="pct"/>
            <w:vAlign w:val="center"/>
          </w:tcPr>
          <w:p>
            <w:pPr>
              <w:keepNext w:val="0"/>
              <w:keepLines w:val="0"/>
              <w:pageBreakBefore w:val="0"/>
              <w:widowControl/>
              <w:kinsoku/>
              <w:wordWrap/>
              <w:overflowPunct/>
              <w:topLinePunct w:val="0"/>
              <w:autoSpaceDE/>
              <w:autoSpaceDN/>
              <w:bidi w:val="0"/>
              <w:adjustRightInd/>
              <w:snapToGrid/>
              <w:spacing w:before="60" w:beforeLines="25" w:after="60" w:afterLines="25" w:line="0" w:lineRule="atLeast"/>
              <w:ind w:left="0" w:leftChars="0" w:firstLine="0" w:firstLineChars="0"/>
              <w:jc w:val="center"/>
              <w:textAlignment w:val="auto"/>
              <w:rPr>
                <w:rFonts w:hint="default" w:ascii="仿宋_GB2312" w:hAnsi="仿宋_GB2312" w:eastAsia="仿宋_GB2312" w:cs="仿宋_GB2312"/>
                <w:color w:val="auto"/>
                <w:kern w:val="0"/>
                <w:sz w:val="20"/>
                <w:szCs w:val="20"/>
                <w:highlight w:val="none"/>
                <w:lang w:val="en-US" w:eastAsia="zh-CN" w:bidi="ar-SA"/>
              </w:rPr>
            </w:pPr>
            <w:r>
              <w:rPr>
                <w:rStyle w:val="44"/>
                <w:rFonts w:hint="eastAsia" w:ascii="仿宋_GB2312" w:hAnsi="仿宋_GB2312" w:eastAsia="仿宋_GB2312" w:cs="仿宋_GB2312"/>
                <w:color w:val="auto"/>
                <w:spacing w:val="0"/>
                <w:kern w:val="2"/>
                <w:sz w:val="22"/>
                <w:szCs w:val="22"/>
                <w:highlight w:val="none"/>
                <w:vertAlign w:val="baseline"/>
                <w:lang w:val="en-US" w:eastAsia="zh-CN" w:bidi="ar-SA"/>
              </w:rPr>
              <w:t>0.75</w:t>
            </w:r>
          </w:p>
        </w:tc>
        <w:tc>
          <w:tcPr>
            <w:tcW w:w="1312" w:type="pct"/>
          </w:tcPr>
          <w:p>
            <w:pPr>
              <w:pStyle w:val="17"/>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77" w:type="pct"/>
            <w:vAlign w:val="center"/>
          </w:tcPr>
          <w:p>
            <w:pPr>
              <w:keepNext w:val="0"/>
              <w:keepLines w:val="0"/>
              <w:pageBreakBefore w:val="0"/>
              <w:widowControl/>
              <w:kinsoku/>
              <w:wordWrap/>
              <w:overflowPunct/>
              <w:topLinePunct w:val="0"/>
              <w:autoSpaceDE/>
              <w:autoSpaceDN/>
              <w:bidi w:val="0"/>
              <w:adjustRightInd/>
              <w:snapToGrid/>
              <w:spacing w:before="60" w:beforeLines="25" w:after="60" w:afterLines="25" w:line="0" w:lineRule="atLeast"/>
              <w:ind w:left="480" w:leftChars="200" w:firstLine="0" w:firstLineChars="0"/>
              <w:jc w:val="both"/>
              <w:textAlignment w:val="auto"/>
              <w:rPr>
                <w:rStyle w:val="44"/>
                <w:rFonts w:hint="default" w:ascii="Times New Roman" w:hAnsi="Times New Roman" w:eastAsia="宋体" w:cs="Times New Roman"/>
                <w:color w:val="auto"/>
                <w:spacing w:val="0"/>
                <w:kern w:val="2"/>
                <w:sz w:val="22"/>
                <w:szCs w:val="22"/>
                <w:highlight w:val="none"/>
                <w:vertAlign w:val="baseline"/>
                <w:lang w:val="en-US" w:eastAsia="zh-CN" w:bidi="ar-SA"/>
              </w:rPr>
            </w:pPr>
            <w:r>
              <w:rPr>
                <w:rStyle w:val="44"/>
                <w:rFonts w:hint="default" w:ascii="Times New Roman" w:hAnsi="Times New Roman" w:eastAsia="宋体" w:cs="Times New Roman"/>
                <w:color w:val="auto"/>
                <w:spacing w:val="0"/>
                <w:kern w:val="2"/>
                <w:sz w:val="22"/>
                <w:szCs w:val="22"/>
                <w:highlight w:val="none"/>
                <w:vertAlign w:val="baseline"/>
                <w:lang w:val="en-US" w:eastAsia="zh-CN" w:bidi="ar-SA"/>
              </w:rPr>
              <w:t>旧砌石、砼拆除量</w:t>
            </w:r>
          </w:p>
        </w:tc>
        <w:tc>
          <w:tcPr>
            <w:tcW w:w="528" w:type="pct"/>
          </w:tcPr>
          <w:p>
            <w:pPr>
              <w:keepNext w:val="0"/>
              <w:keepLines w:val="0"/>
              <w:pageBreakBefore w:val="0"/>
              <w:widowControl/>
              <w:kinsoku/>
              <w:wordWrap/>
              <w:overflowPunct/>
              <w:topLinePunct w:val="0"/>
              <w:autoSpaceDE/>
              <w:autoSpaceDN/>
              <w:bidi w:val="0"/>
              <w:adjustRightInd/>
              <w:snapToGrid/>
              <w:spacing w:before="60" w:beforeLines="25" w:after="60" w:afterLines="25" w:line="0" w:lineRule="atLeast"/>
              <w:ind w:left="0" w:leftChars="0" w:firstLine="0" w:firstLineChars="0"/>
              <w:jc w:val="center"/>
              <w:textAlignment w:val="auto"/>
              <w:rPr>
                <w:rStyle w:val="44"/>
                <w:rFonts w:hint="default" w:ascii="Times New Roman" w:hAnsi="Times New Roman" w:eastAsia="宋体" w:cs="Times New Roman"/>
                <w:color w:val="auto"/>
                <w:spacing w:val="0"/>
                <w:kern w:val="2"/>
                <w:sz w:val="22"/>
                <w:szCs w:val="22"/>
                <w:highlight w:val="none"/>
                <w:vertAlign w:val="baseline"/>
                <w:lang w:val="en-US" w:eastAsia="zh-CN" w:bidi="ar-SA"/>
              </w:rPr>
            </w:pPr>
            <w:r>
              <w:rPr>
                <w:rStyle w:val="44"/>
                <w:rFonts w:hint="eastAsia" w:eastAsia="宋体" w:cs="Times New Roman"/>
                <w:color w:val="auto"/>
                <w:spacing w:val="0"/>
                <w:sz w:val="22"/>
                <w:szCs w:val="22"/>
                <w:highlight w:val="none"/>
                <w:vertAlign w:val="baseline"/>
                <w:lang w:val="en-US" w:eastAsia="zh-CN"/>
              </w:rPr>
              <w:t>万</w:t>
            </w:r>
            <w:r>
              <w:rPr>
                <w:rStyle w:val="44"/>
                <w:rFonts w:hint="default" w:ascii="Times New Roman" w:hAnsi="Times New Roman" w:eastAsia="宋体" w:cs="Times New Roman"/>
                <w:color w:val="auto"/>
                <w:spacing w:val="0"/>
                <w:sz w:val="22"/>
                <w:szCs w:val="22"/>
                <w:highlight w:val="none"/>
                <w:vertAlign w:val="baseline"/>
                <w:lang w:val="en-US" w:eastAsia="zh-CN"/>
              </w:rPr>
              <w:t>m</w:t>
            </w:r>
            <w:r>
              <w:rPr>
                <w:rStyle w:val="44"/>
                <w:rFonts w:hint="default" w:ascii="Times New Roman" w:hAnsi="Times New Roman" w:eastAsia="宋体" w:cs="Times New Roman"/>
                <w:color w:val="auto"/>
                <w:spacing w:val="0"/>
                <w:sz w:val="22"/>
                <w:szCs w:val="22"/>
                <w:highlight w:val="none"/>
                <w:vertAlign w:val="superscript"/>
                <w:lang w:val="en-US" w:eastAsia="zh-CN"/>
              </w:rPr>
              <w:t>3</w:t>
            </w:r>
          </w:p>
        </w:tc>
        <w:tc>
          <w:tcPr>
            <w:tcW w:w="1281" w:type="pct"/>
            <w:vAlign w:val="center"/>
          </w:tcPr>
          <w:p>
            <w:pPr>
              <w:keepNext w:val="0"/>
              <w:keepLines w:val="0"/>
              <w:pageBreakBefore w:val="0"/>
              <w:widowControl/>
              <w:kinsoku/>
              <w:wordWrap/>
              <w:overflowPunct/>
              <w:topLinePunct w:val="0"/>
              <w:autoSpaceDE/>
              <w:autoSpaceDN/>
              <w:bidi w:val="0"/>
              <w:adjustRightInd/>
              <w:snapToGrid/>
              <w:spacing w:before="60" w:beforeLines="25" w:after="60" w:afterLines="25" w:line="0" w:lineRule="atLeast"/>
              <w:ind w:left="0" w:leftChars="0" w:firstLine="0" w:firstLineChars="0"/>
              <w:jc w:val="center"/>
              <w:textAlignment w:val="auto"/>
              <w:rPr>
                <w:rStyle w:val="44"/>
                <w:rFonts w:hint="default" w:ascii="仿宋_GB2312" w:hAnsi="仿宋_GB2312" w:eastAsia="仿宋_GB2312" w:cs="仿宋_GB2312"/>
                <w:color w:val="auto"/>
                <w:spacing w:val="0"/>
                <w:kern w:val="2"/>
                <w:sz w:val="22"/>
                <w:szCs w:val="22"/>
                <w:highlight w:val="none"/>
                <w:vertAlign w:val="baseline"/>
                <w:lang w:val="en-US" w:eastAsia="zh-CN" w:bidi="ar-SA"/>
              </w:rPr>
            </w:pPr>
            <w:r>
              <w:rPr>
                <w:rStyle w:val="44"/>
                <w:rFonts w:hint="eastAsia" w:ascii="仿宋_GB2312" w:hAnsi="仿宋_GB2312" w:eastAsia="仿宋_GB2312" w:cs="仿宋_GB2312"/>
                <w:color w:val="auto"/>
                <w:spacing w:val="0"/>
                <w:kern w:val="2"/>
                <w:sz w:val="22"/>
                <w:szCs w:val="22"/>
                <w:highlight w:val="none"/>
                <w:vertAlign w:val="baseline"/>
                <w:lang w:val="en-US" w:eastAsia="zh-CN" w:bidi="ar-SA"/>
              </w:rPr>
              <w:t>0.24</w:t>
            </w:r>
          </w:p>
        </w:tc>
        <w:tc>
          <w:tcPr>
            <w:tcW w:w="1312" w:type="pct"/>
          </w:tcPr>
          <w:p>
            <w:pPr>
              <w:pStyle w:val="17"/>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7" w:type="pct"/>
            <w:vAlign w:val="center"/>
          </w:tcPr>
          <w:p>
            <w:pPr>
              <w:keepNext w:val="0"/>
              <w:keepLines w:val="0"/>
              <w:pageBreakBefore w:val="0"/>
              <w:widowControl/>
              <w:kinsoku/>
              <w:wordWrap/>
              <w:overflowPunct/>
              <w:topLinePunct w:val="0"/>
              <w:autoSpaceDE/>
              <w:autoSpaceDN/>
              <w:bidi w:val="0"/>
              <w:adjustRightInd/>
              <w:snapToGrid/>
              <w:spacing w:before="60" w:beforeLines="25" w:after="60" w:afterLines="25" w:line="0" w:lineRule="atLeast"/>
              <w:ind w:left="480" w:leftChars="200" w:firstLine="0" w:firstLineChars="0"/>
              <w:jc w:val="both"/>
              <w:textAlignment w:val="auto"/>
              <w:rPr>
                <w:rStyle w:val="44"/>
                <w:rFonts w:hint="default" w:ascii="Times New Roman" w:hAnsi="Times New Roman" w:eastAsia="宋体" w:cs="Times New Roman"/>
                <w:color w:val="auto"/>
                <w:spacing w:val="0"/>
                <w:kern w:val="2"/>
                <w:sz w:val="22"/>
                <w:szCs w:val="22"/>
                <w:highlight w:val="none"/>
                <w:vertAlign w:val="baseline"/>
                <w:lang w:val="en-US" w:eastAsia="zh-CN" w:bidi="ar-SA"/>
              </w:rPr>
            </w:pPr>
            <w:r>
              <w:rPr>
                <w:rStyle w:val="44"/>
                <w:rFonts w:hint="eastAsia" w:eastAsia="宋体" w:cs="Times New Roman"/>
                <w:color w:val="auto"/>
                <w:spacing w:val="0"/>
                <w:kern w:val="2"/>
                <w:sz w:val="22"/>
                <w:szCs w:val="22"/>
                <w:highlight w:val="none"/>
                <w:vertAlign w:val="baseline"/>
                <w:lang w:val="en-US" w:eastAsia="zh-CN" w:bidi="ar-SA"/>
              </w:rPr>
              <w:t>弃渣总量</w:t>
            </w:r>
          </w:p>
        </w:tc>
        <w:tc>
          <w:tcPr>
            <w:tcW w:w="528" w:type="pct"/>
          </w:tcPr>
          <w:p>
            <w:pPr>
              <w:keepNext w:val="0"/>
              <w:keepLines w:val="0"/>
              <w:pageBreakBefore w:val="0"/>
              <w:widowControl/>
              <w:kinsoku/>
              <w:wordWrap/>
              <w:overflowPunct/>
              <w:topLinePunct w:val="0"/>
              <w:autoSpaceDE/>
              <w:autoSpaceDN/>
              <w:bidi w:val="0"/>
              <w:adjustRightInd/>
              <w:snapToGrid/>
              <w:spacing w:before="60" w:beforeLines="25" w:after="60" w:afterLines="25" w:line="0" w:lineRule="atLeast"/>
              <w:ind w:left="0" w:leftChars="0" w:firstLine="0" w:firstLineChars="0"/>
              <w:jc w:val="center"/>
              <w:textAlignment w:val="auto"/>
              <w:rPr>
                <w:rStyle w:val="44"/>
                <w:rFonts w:hint="eastAsia" w:eastAsia="宋体" w:cs="Times New Roman"/>
                <w:color w:val="auto"/>
                <w:spacing w:val="0"/>
                <w:sz w:val="22"/>
                <w:szCs w:val="22"/>
                <w:highlight w:val="none"/>
                <w:vertAlign w:val="baseline"/>
                <w:lang w:val="en-US" w:eastAsia="zh-CN"/>
              </w:rPr>
            </w:pPr>
            <w:r>
              <w:rPr>
                <w:rStyle w:val="44"/>
                <w:rFonts w:hint="eastAsia" w:eastAsia="宋体" w:cs="Times New Roman"/>
                <w:color w:val="auto"/>
                <w:spacing w:val="0"/>
                <w:sz w:val="22"/>
                <w:szCs w:val="22"/>
                <w:highlight w:val="none"/>
                <w:vertAlign w:val="baseline"/>
                <w:lang w:val="en-US" w:eastAsia="zh-CN"/>
              </w:rPr>
              <w:t>万</w:t>
            </w:r>
            <w:r>
              <w:rPr>
                <w:rStyle w:val="44"/>
                <w:rFonts w:hint="default" w:ascii="Times New Roman" w:hAnsi="Times New Roman" w:eastAsia="宋体" w:cs="Times New Roman"/>
                <w:color w:val="auto"/>
                <w:spacing w:val="0"/>
                <w:sz w:val="22"/>
                <w:szCs w:val="22"/>
                <w:highlight w:val="none"/>
                <w:vertAlign w:val="baseline"/>
                <w:lang w:val="en-US" w:eastAsia="zh-CN"/>
              </w:rPr>
              <w:t>m</w:t>
            </w:r>
            <w:r>
              <w:rPr>
                <w:rStyle w:val="44"/>
                <w:rFonts w:hint="default" w:ascii="Times New Roman" w:hAnsi="Times New Roman" w:eastAsia="宋体" w:cs="Times New Roman"/>
                <w:color w:val="auto"/>
                <w:spacing w:val="0"/>
                <w:sz w:val="22"/>
                <w:szCs w:val="22"/>
                <w:highlight w:val="none"/>
                <w:vertAlign w:val="superscript"/>
                <w:lang w:val="en-US" w:eastAsia="zh-CN"/>
              </w:rPr>
              <w:t>3</w:t>
            </w:r>
          </w:p>
        </w:tc>
        <w:tc>
          <w:tcPr>
            <w:tcW w:w="1281" w:type="pct"/>
            <w:vAlign w:val="center"/>
          </w:tcPr>
          <w:p>
            <w:pPr>
              <w:keepNext w:val="0"/>
              <w:keepLines w:val="0"/>
              <w:pageBreakBefore w:val="0"/>
              <w:widowControl/>
              <w:kinsoku/>
              <w:wordWrap/>
              <w:overflowPunct/>
              <w:topLinePunct w:val="0"/>
              <w:autoSpaceDE/>
              <w:autoSpaceDN/>
              <w:bidi w:val="0"/>
              <w:adjustRightInd/>
              <w:snapToGrid/>
              <w:spacing w:before="60" w:beforeLines="25" w:after="60" w:afterLines="25" w:line="0" w:lineRule="atLeast"/>
              <w:ind w:left="0" w:leftChars="0" w:firstLine="0" w:firstLineChars="0"/>
              <w:jc w:val="center"/>
              <w:textAlignment w:val="auto"/>
              <w:rPr>
                <w:rStyle w:val="44"/>
                <w:rFonts w:hint="default" w:ascii="仿宋_GB2312" w:hAnsi="仿宋_GB2312" w:eastAsia="仿宋_GB2312" w:cs="仿宋_GB2312"/>
                <w:color w:val="auto"/>
                <w:spacing w:val="0"/>
                <w:kern w:val="2"/>
                <w:sz w:val="22"/>
                <w:szCs w:val="22"/>
                <w:highlight w:val="none"/>
                <w:vertAlign w:val="baseline"/>
                <w:lang w:val="en-US" w:eastAsia="zh-CN" w:bidi="ar-SA"/>
              </w:rPr>
            </w:pPr>
            <w:r>
              <w:rPr>
                <w:rStyle w:val="44"/>
                <w:rFonts w:hint="eastAsia" w:ascii="仿宋_GB2312" w:hAnsi="仿宋_GB2312" w:eastAsia="仿宋_GB2312" w:cs="仿宋_GB2312"/>
                <w:color w:val="auto"/>
                <w:spacing w:val="0"/>
                <w:kern w:val="2"/>
                <w:sz w:val="22"/>
                <w:szCs w:val="22"/>
                <w:highlight w:val="none"/>
                <w:vertAlign w:val="baseline"/>
                <w:lang w:val="en-US" w:eastAsia="zh-CN" w:bidi="ar-SA"/>
              </w:rPr>
              <w:t>1.55</w:t>
            </w:r>
          </w:p>
        </w:tc>
        <w:tc>
          <w:tcPr>
            <w:tcW w:w="1312" w:type="pct"/>
          </w:tcPr>
          <w:p>
            <w:pPr>
              <w:pStyle w:val="17"/>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7" w:type="pct"/>
          </w:tcPr>
          <w:p>
            <w:pPr>
              <w:pStyle w:val="17"/>
              <w:keepNext w:val="0"/>
              <w:keepLines w:val="0"/>
              <w:pageBreakBefore w:val="0"/>
              <w:widowControl w:val="0"/>
              <w:kinsoku/>
              <w:wordWrap/>
              <w:overflowPunct/>
              <w:topLinePunct w:val="0"/>
              <w:autoSpaceDE/>
              <w:autoSpaceDN/>
              <w:bidi w:val="0"/>
              <w:adjustRightInd/>
              <w:snapToGrid/>
              <w:ind w:left="0" w:leftChars="0" w:firstLine="0" w:firstLineChars="0"/>
              <w:jc w:val="left"/>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r>
              <w:rPr>
                <w:rStyle w:val="44"/>
                <w:rFonts w:hint="eastAsia" w:eastAsia="宋体" w:cs="Times New Roman"/>
                <w:color w:val="auto"/>
                <w:spacing w:val="0"/>
                <w:sz w:val="22"/>
                <w:szCs w:val="22"/>
                <w:highlight w:val="none"/>
                <w:vertAlign w:val="baseline"/>
                <w:lang w:val="en-US" w:eastAsia="zh-CN"/>
              </w:rPr>
              <w:t>2</w:t>
            </w:r>
            <w:r>
              <w:rPr>
                <w:rStyle w:val="44"/>
                <w:rFonts w:hint="default" w:ascii="Times New Roman" w:hAnsi="Times New Roman" w:eastAsia="宋体" w:cs="Times New Roman"/>
                <w:color w:val="auto"/>
                <w:spacing w:val="0"/>
                <w:sz w:val="22"/>
                <w:szCs w:val="22"/>
                <w:highlight w:val="none"/>
                <w:vertAlign w:val="baseline"/>
                <w:lang w:val="en-US" w:eastAsia="zh-CN"/>
              </w:rPr>
              <w:t>.总工期</w:t>
            </w:r>
          </w:p>
        </w:tc>
        <w:tc>
          <w:tcPr>
            <w:tcW w:w="528" w:type="pct"/>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r>
              <w:rPr>
                <w:rStyle w:val="44"/>
                <w:rFonts w:hint="default" w:ascii="Times New Roman" w:hAnsi="Times New Roman" w:eastAsia="宋体" w:cs="Times New Roman"/>
                <w:color w:val="auto"/>
                <w:spacing w:val="0"/>
                <w:sz w:val="22"/>
                <w:szCs w:val="22"/>
                <w:highlight w:val="none"/>
                <w:vertAlign w:val="baseline"/>
                <w:lang w:val="en-US" w:eastAsia="zh-CN"/>
              </w:rPr>
              <w:t>月</w:t>
            </w:r>
          </w:p>
        </w:tc>
        <w:tc>
          <w:tcPr>
            <w:tcW w:w="1281" w:type="pct"/>
          </w:tcPr>
          <w:p>
            <w:pPr>
              <w:pStyle w:val="17"/>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Style w:val="44"/>
                <w:rFonts w:hint="eastAsia" w:ascii="仿宋_GB2312" w:hAnsi="仿宋_GB2312" w:eastAsia="仿宋_GB2312" w:cs="仿宋_GB2312"/>
                <w:color w:val="auto"/>
                <w:spacing w:val="0"/>
                <w:kern w:val="2"/>
                <w:sz w:val="22"/>
                <w:szCs w:val="22"/>
                <w:highlight w:val="none"/>
                <w:vertAlign w:val="baseline"/>
                <w:lang w:val="en-US" w:eastAsia="zh-CN" w:bidi="ar-SA"/>
              </w:rPr>
            </w:pPr>
            <w:r>
              <w:rPr>
                <w:rStyle w:val="44"/>
                <w:rFonts w:hint="eastAsia" w:ascii="仿宋_GB2312" w:hAnsi="仿宋_GB2312" w:eastAsia="仿宋_GB2312" w:cs="仿宋_GB2312"/>
                <w:color w:val="auto"/>
                <w:spacing w:val="0"/>
                <w:kern w:val="2"/>
                <w:sz w:val="22"/>
                <w:szCs w:val="22"/>
                <w:highlight w:val="none"/>
                <w:vertAlign w:val="baseline"/>
                <w:lang w:val="en-US" w:eastAsia="zh-CN" w:bidi="ar-SA"/>
              </w:rPr>
              <w:t>6</w:t>
            </w:r>
          </w:p>
        </w:tc>
        <w:tc>
          <w:tcPr>
            <w:tcW w:w="1312" w:type="pct"/>
          </w:tcPr>
          <w:p>
            <w:pPr>
              <w:pStyle w:val="17"/>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7" w:type="pct"/>
          </w:tcPr>
          <w:p>
            <w:pPr>
              <w:pStyle w:val="17"/>
              <w:keepNext w:val="0"/>
              <w:keepLines w:val="0"/>
              <w:pageBreakBefore w:val="0"/>
              <w:widowControl w:val="0"/>
              <w:kinsoku/>
              <w:wordWrap/>
              <w:overflowPunct/>
              <w:topLinePunct w:val="0"/>
              <w:autoSpaceDE/>
              <w:autoSpaceDN/>
              <w:bidi w:val="0"/>
              <w:adjustRightInd/>
              <w:snapToGrid/>
              <w:ind w:left="0" w:leftChars="0" w:firstLine="0" w:firstLineChars="0"/>
              <w:jc w:val="left"/>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r>
              <w:rPr>
                <w:rStyle w:val="44"/>
                <w:rFonts w:hint="default" w:ascii="Times New Roman" w:hAnsi="Times New Roman" w:eastAsia="宋体" w:cs="Times New Roman"/>
                <w:b/>
                <w:bCs/>
                <w:color w:val="auto"/>
                <w:spacing w:val="0"/>
                <w:sz w:val="22"/>
                <w:szCs w:val="22"/>
                <w:highlight w:val="none"/>
                <w:vertAlign w:val="baseline"/>
                <w:lang w:val="en-US" w:eastAsia="zh-CN"/>
              </w:rPr>
              <w:t>六、经济指标</w:t>
            </w:r>
          </w:p>
        </w:tc>
        <w:tc>
          <w:tcPr>
            <w:tcW w:w="528" w:type="pct"/>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p>
        </w:tc>
        <w:tc>
          <w:tcPr>
            <w:tcW w:w="1281" w:type="pct"/>
          </w:tcPr>
          <w:p>
            <w:pPr>
              <w:pStyle w:val="17"/>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Style w:val="44"/>
                <w:rFonts w:hint="eastAsia" w:ascii="仿宋_GB2312" w:hAnsi="仿宋_GB2312" w:eastAsia="仿宋_GB2312" w:cs="仿宋_GB2312"/>
                <w:color w:val="auto"/>
                <w:spacing w:val="0"/>
                <w:sz w:val="22"/>
                <w:szCs w:val="22"/>
                <w:highlight w:val="none"/>
                <w:vertAlign w:val="baseline"/>
                <w:lang w:val="en-US" w:eastAsia="zh-CN"/>
              </w:rPr>
            </w:pPr>
          </w:p>
        </w:tc>
        <w:tc>
          <w:tcPr>
            <w:tcW w:w="1312" w:type="pct"/>
          </w:tcPr>
          <w:p>
            <w:pPr>
              <w:pStyle w:val="17"/>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77" w:type="pct"/>
          </w:tcPr>
          <w:p>
            <w:pPr>
              <w:pStyle w:val="17"/>
              <w:keepNext w:val="0"/>
              <w:keepLines w:val="0"/>
              <w:pageBreakBefore w:val="0"/>
              <w:widowControl w:val="0"/>
              <w:kinsoku/>
              <w:wordWrap/>
              <w:overflowPunct/>
              <w:topLinePunct w:val="0"/>
              <w:autoSpaceDE/>
              <w:autoSpaceDN/>
              <w:bidi w:val="0"/>
              <w:adjustRightInd/>
              <w:snapToGrid/>
              <w:ind w:left="0" w:leftChars="0" w:firstLine="0" w:firstLineChars="0"/>
              <w:jc w:val="left"/>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r>
              <w:rPr>
                <w:rStyle w:val="44"/>
                <w:rFonts w:hint="default" w:ascii="Times New Roman" w:hAnsi="Times New Roman" w:eastAsia="宋体" w:cs="Times New Roman"/>
                <w:color w:val="auto"/>
                <w:spacing w:val="0"/>
                <w:sz w:val="22"/>
                <w:szCs w:val="22"/>
                <w:highlight w:val="none"/>
                <w:vertAlign w:val="baseline"/>
                <w:lang w:val="en-US" w:eastAsia="zh-CN"/>
              </w:rPr>
              <w:t>1.总投资</w:t>
            </w:r>
          </w:p>
        </w:tc>
        <w:tc>
          <w:tcPr>
            <w:tcW w:w="528" w:type="pct"/>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r>
              <w:rPr>
                <w:rStyle w:val="44"/>
                <w:rFonts w:hint="default" w:ascii="Times New Roman" w:hAnsi="Times New Roman" w:eastAsia="宋体" w:cs="Times New Roman"/>
                <w:color w:val="auto"/>
                <w:spacing w:val="0"/>
                <w:sz w:val="22"/>
                <w:szCs w:val="22"/>
                <w:highlight w:val="none"/>
                <w:vertAlign w:val="baseline"/>
                <w:lang w:val="en-US" w:eastAsia="zh-CN"/>
              </w:rPr>
              <w:t>万元</w:t>
            </w:r>
          </w:p>
        </w:tc>
        <w:tc>
          <w:tcPr>
            <w:tcW w:w="1281" w:type="pct"/>
          </w:tcPr>
          <w:p>
            <w:pPr>
              <w:pStyle w:val="17"/>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Style w:val="44"/>
                <w:rFonts w:hint="default" w:ascii="仿宋_GB2312" w:hAnsi="仿宋_GB2312" w:eastAsia="仿宋_GB2312" w:cs="仿宋_GB2312"/>
                <w:color w:val="auto"/>
                <w:spacing w:val="0"/>
                <w:sz w:val="22"/>
                <w:szCs w:val="22"/>
                <w:highlight w:val="none"/>
                <w:vertAlign w:val="baseline"/>
                <w:lang w:val="en-US" w:eastAsia="zh-CN"/>
              </w:rPr>
            </w:pPr>
            <w:r>
              <w:rPr>
                <w:rFonts w:hint="eastAsia" w:ascii="仿宋_GB2312" w:hAnsi="仿宋_GB2312" w:eastAsia="仿宋_GB2312" w:cs="仿宋_GB2312"/>
                <w:i w:val="0"/>
                <w:iCs w:val="0"/>
                <w:color w:val="auto"/>
                <w:kern w:val="0"/>
                <w:sz w:val="21"/>
                <w:szCs w:val="21"/>
                <w:highlight w:val="none"/>
                <w:u w:val="none"/>
                <w:lang w:val="en-US" w:eastAsia="zh-CN" w:bidi="ar"/>
              </w:rPr>
              <w:t>1579.39</w:t>
            </w:r>
          </w:p>
        </w:tc>
        <w:tc>
          <w:tcPr>
            <w:tcW w:w="1312" w:type="pct"/>
          </w:tcPr>
          <w:p>
            <w:pPr>
              <w:pStyle w:val="17"/>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77" w:type="pct"/>
            <w:vAlign w:val="center"/>
          </w:tcPr>
          <w:p>
            <w:pPr>
              <w:keepNext w:val="0"/>
              <w:keepLines w:val="0"/>
              <w:pageBreakBefore w:val="0"/>
              <w:widowControl/>
              <w:kinsoku/>
              <w:wordWrap/>
              <w:overflowPunct/>
              <w:topLinePunct w:val="0"/>
              <w:autoSpaceDE/>
              <w:autoSpaceDN/>
              <w:bidi w:val="0"/>
              <w:adjustRightInd/>
              <w:snapToGrid/>
              <w:spacing w:line="0" w:lineRule="atLeast"/>
              <w:ind w:firstLine="0" w:firstLineChars="0"/>
              <w:jc w:val="left"/>
              <w:textAlignment w:val="auto"/>
              <w:rPr>
                <w:rStyle w:val="44"/>
                <w:rFonts w:hint="default" w:ascii="Times New Roman" w:hAnsi="Times New Roman" w:eastAsia="宋体" w:cs="Times New Roman"/>
                <w:color w:val="auto"/>
                <w:spacing w:val="0"/>
                <w:kern w:val="2"/>
                <w:sz w:val="22"/>
                <w:szCs w:val="22"/>
                <w:highlight w:val="none"/>
                <w:vertAlign w:val="baseline"/>
                <w:lang w:val="en-US" w:eastAsia="zh-CN" w:bidi="ar-SA"/>
              </w:rPr>
            </w:pPr>
            <w:r>
              <w:rPr>
                <w:rStyle w:val="44"/>
                <w:rFonts w:hint="default" w:ascii="Times New Roman" w:hAnsi="Times New Roman" w:eastAsia="宋体" w:cs="Times New Roman"/>
                <w:color w:val="auto"/>
                <w:spacing w:val="0"/>
                <w:kern w:val="2"/>
                <w:sz w:val="22"/>
                <w:szCs w:val="22"/>
                <w:highlight w:val="none"/>
                <w:vertAlign w:val="baseline"/>
                <w:lang w:val="en-US" w:eastAsia="zh-CN" w:bidi="ar-SA"/>
              </w:rPr>
              <w:t>2.经济内部收益率（</w:t>
            </w:r>
            <w:r>
              <w:rPr>
                <w:rStyle w:val="44"/>
                <w:rFonts w:hint="eastAsia" w:cs="Times New Roman"/>
                <w:color w:val="auto"/>
                <w:spacing w:val="0"/>
                <w:kern w:val="2"/>
                <w:sz w:val="22"/>
                <w:szCs w:val="22"/>
                <w:highlight w:val="none"/>
                <w:vertAlign w:val="baseline"/>
                <w:lang w:val="en-US" w:eastAsia="zh-CN" w:bidi="ar-SA"/>
              </w:rPr>
              <w:t>8%</w:t>
            </w:r>
            <w:r>
              <w:rPr>
                <w:rStyle w:val="44"/>
                <w:rFonts w:hint="default" w:ascii="Times New Roman" w:hAnsi="Times New Roman" w:eastAsia="宋体" w:cs="Times New Roman"/>
                <w:color w:val="auto"/>
                <w:spacing w:val="0"/>
                <w:kern w:val="2"/>
                <w:sz w:val="22"/>
                <w:szCs w:val="22"/>
                <w:highlight w:val="none"/>
                <w:vertAlign w:val="baseline"/>
                <w:lang w:val="en-US" w:eastAsia="zh-CN" w:bidi="ar-SA"/>
              </w:rPr>
              <w:t>）</w:t>
            </w:r>
          </w:p>
        </w:tc>
        <w:tc>
          <w:tcPr>
            <w:tcW w:w="528" w:type="pct"/>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p>
        </w:tc>
        <w:tc>
          <w:tcPr>
            <w:tcW w:w="1281" w:type="pct"/>
          </w:tcPr>
          <w:p>
            <w:pPr>
              <w:pStyle w:val="17"/>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Style w:val="44"/>
                <w:rFonts w:hint="eastAsia" w:ascii="仿宋_GB2312" w:hAnsi="仿宋_GB2312" w:eastAsia="仿宋_GB2312" w:cs="仿宋_GB2312"/>
                <w:color w:val="auto"/>
                <w:spacing w:val="0"/>
                <w:sz w:val="22"/>
                <w:szCs w:val="22"/>
                <w:highlight w:val="none"/>
                <w:vertAlign w:val="baseline"/>
                <w:lang w:val="en-US" w:eastAsia="zh-CN"/>
              </w:rPr>
            </w:pPr>
            <w:r>
              <w:rPr>
                <w:rStyle w:val="44"/>
                <w:rFonts w:hint="eastAsia" w:ascii="仿宋_GB2312" w:hAnsi="仿宋_GB2312" w:eastAsia="仿宋_GB2312" w:cs="仿宋_GB2312"/>
                <w:color w:val="auto"/>
                <w:spacing w:val="0"/>
                <w:sz w:val="22"/>
                <w:szCs w:val="22"/>
                <w:highlight w:val="none"/>
                <w:vertAlign w:val="baseline"/>
                <w:lang w:val="en-US" w:eastAsia="zh-CN"/>
              </w:rPr>
              <w:t>10.38%</w:t>
            </w:r>
          </w:p>
        </w:tc>
        <w:tc>
          <w:tcPr>
            <w:tcW w:w="1312" w:type="pct"/>
          </w:tcPr>
          <w:p>
            <w:pPr>
              <w:pStyle w:val="17"/>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7" w:type="pct"/>
            <w:vAlign w:val="center"/>
          </w:tcPr>
          <w:p>
            <w:pPr>
              <w:keepNext w:val="0"/>
              <w:keepLines w:val="0"/>
              <w:pageBreakBefore w:val="0"/>
              <w:widowControl/>
              <w:kinsoku/>
              <w:wordWrap/>
              <w:overflowPunct/>
              <w:topLinePunct w:val="0"/>
              <w:autoSpaceDE/>
              <w:autoSpaceDN/>
              <w:bidi w:val="0"/>
              <w:adjustRightInd/>
              <w:snapToGrid/>
              <w:spacing w:line="0" w:lineRule="atLeast"/>
              <w:ind w:firstLine="0" w:firstLineChars="0"/>
              <w:jc w:val="left"/>
              <w:textAlignment w:val="auto"/>
              <w:rPr>
                <w:rStyle w:val="44"/>
                <w:rFonts w:hint="default" w:ascii="Times New Roman" w:hAnsi="Times New Roman" w:eastAsia="宋体" w:cs="Times New Roman"/>
                <w:color w:val="auto"/>
                <w:spacing w:val="0"/>
                <w:kern w:val="2"/>
                <w:sz w:val="22"/>
                <w:szCs w:val="22"/>
                <w:highlight w:val="none"/>
                <w:vertAlign w:val="baseline"/>
                <w:lang w:val="en-US" w:eastAsia="zh-CN" w:bidi="ar-SA"/>
              </w:rPr>
            </w:pPr>
            <w:r>
              <w:rPr>
                <w:rStyle w:val="44"/>
                <w:rFonts w:hint="default" w:ascii="Times New Roman" w:hAnsi="Times New Roman" w:eastAsia="宋体" w:cs="Times New Roman"/>
                <w:color w:val="auto"/>
                <w:spacing w:val="0"/>
                <w:kern w:val="2"/>
                <w:sz w:val="22"/>
                <w:szCs w:val="22"/>
                <w:highlight w:val="none"/>
                <w:vertAlign w:val="baseline"/>
                <w:lang w:val="en-US" w:eastAsia="zh-CN" w:bidi="ar-SA"/>
              </w:rPr>
              <w:t>3.经济净现值</w:t>
            </w:r>
          </w:p>
        </w:tc>
        <w:tc>
          <w:tcPr>
            <w:tcW w:w="528" w:type="pct"/>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r>
              <w:rPr>
                <w:rStyle w:val="44"/>
                <w:rFonts w:hint="default" w:ascii="Times New Roman" w:hAnsi="Times New Roman" w:eastAsia="宋体" w:cs="Times New Roman"/>
                <w:color w:val="auto"/>
                <w:spacing w:val="0"/>
                <w:sz w:val="22"/>
                <w:szCs w:val="22"/>
                <w:highlight w:val="none"/>
                <w:vertAlign w:val="baseline"/>
                <w:lang w:val="en-US" w:eastAsia="zh-CN"/>
              </w:rPr>
              <w:t>万元</w:t>
            </w:r>
          </w:p>
        </w:tc>
        <w:tc>
          <w:tcPr>
            <w:tcW w:w="1281" w:type="pct"/>
          </w:tcPr>
          <w:p>
            <w:pPr>
              <w:pStyle w:val="17"/>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Style w:val="44"/>
                <w:rFonts w:hint="default" w:ascii="仿宋_GB2312" w:hAnsi="仿宋_GB2312" w:eastAsia="仿宋_GB2312" w:cs="仿宋_GB2312"/>
                <w:color w:val="auto"/>
                <w:spacing w:val="0"/>
                <w:sz w:val="22"/>
                <w:szCs w:val="22"/>
                <w:highlight w:val="none"/>
                <w:vertAlign w:val="baseline"/>
                <w:lang w:val="en-US" w:eastAsia="zh-CN"/>
              </w:rPr>
            </w:pPr>
            <w:r>
              <w:rPr>
                <w:rStyle w:val="44"/>
                <w:rFonts w:hint="eastAsia" w:ascii="仿宋_GB2312" w:hAnsi="仿宋_GB2312" w:eastAsia="仿宋_GB2312" w:cs="仿宋_GB2312"/>
                <w:color w:val="auto"/>
                <w:spacing w:val="0"/>
                <w:sz w:val="22"/>
                <w:szCs w:val="22"/>
                <w:highlight w:val="none"/>
                <w:vertAlign w:val="baseline"/>
                <w:lang w:val="en-US" w:eastAsia="zh-CN"/>
              </w:rPr>
              <w:t>755.71</w:t>
            </w:r>
          </w:p>
        </w:tc>
        <w:tc>
          <w:tcPr>
            <w:tcW w:w="1312" w:type="pct"/>
          </w:tcPr>
          <w:p>
            <w:pPr>
              <w:pStyle w:val="17"/>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7" w:type="pct"/>
            <w:vAlign w:val="center"/>
          </w:tcPr>
          <w:p>
            <w:pPr>
              <w:keepNext w:val="0"/>
              <w:keepLines w:val="0"/>
              <w:pageBreakBefore w:val="0"/>
              <w:widowControl/>
              <w:kinsoku/>
              <w:wordWrap/>
              <w:overflowPunct/>
              <w:topLinePunct w:val="0"/>
              <w:autoSpaceDE/>
              <w:autoSpaceDN/>
              <w:bidi w:val="0"/>
              <w:adjustRightInd/>
              <w:snapToGrid/>
              <w:spacing w:line="0" w:lineRule="atLeast"/>
              <w:ind w:firstLine="0" w:firstLineChars="0"/>
              <w:jc w:val="left"/>
              <w:textAlignment w:val="auto"/>
              <w:rPr>
                <w:rStyle w:val="44"/>
                <w:rFonts w:hint="default" w:ascii="Times New Roman" w:hAnsi="Times New Roman" w:eastAsia="宋体" w:cs="Times New Roman"/>
                <w:color w:val="auto"/>
                <w:spacing w:val="0"/>
                <w:kern w:val="2"/>
                <w:sz w:val="22"/>
                <w:szCs w:val="22"/>
                <w:highlight w:val="none"/>
                <w:vertAlign w:val="baseline"/>
                <w:lang w:val="en-US" w:eastAsia="zh-CN" w:bidi="ar-SA"/>
              </w:rPr>
            </w:pPr>
            <w:r>
              <w:rPr>
                <w:rStyle w:val="44"/>
                <w:rFonts w:hint="default" w:ascii="Times New Roman" w:hAnsi="Times New Roman" w:eastAsia="宋体" w:cs="Times New Roman"/>
                <w:color w:val="auto"/>
                <w:spacing w:val="0"/>
                <w:kern w:val="2"/>
                <w:sz w:val="22"/>
                <w:szCs w:val="22"/>
                <w:highlight w:val="none"/>
                <w:vertAlign w:val="baseline"/>
                <w:lang w:val="en-US" w:eastAsia="zh-CN" w:bidi="ar-SA"/>
              </w:rPr>
              <w:t>4.经济效益费用比</w:t>
            </w:r>
          </w:p>
        </w:tc>
        <w:tc>
          <w:tcPr>
            <w:tcW w:w="528" w:type="pct"/>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p>
        </w:tc>
        <w:tc>
          <w:tcPr>
            <w:tcW w:w="1281" w:type="pct"/>
          </w:tcPr>
          <w:p>
            <w:pPr>
              <w:pStyle w:val="17"/>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Style w:val="44"/>
                <w:rFonts w:hint="default" w:ascii="仿宋_GB2312" w:hAnsi="仿宋_GB2312" w:eastAsia="仿宋_GB2312" w:cs="仿宋_GB2312"/>
                <w:color w:val="auto"/>
                <w:spacing w:val="0"/>
                <w:sz w:val="22"/>
                <w:szCs w:val="22"/>
                <w:highlight w:val="none"/>
                <w:vertAlign w:val="baseline"/>
                <w:lang w:val="en-US" w:eastAsia="zh-CN"/>
              </w:rPr>
            </w:pPr>
            <w:r>
              <w:rPr>
                <w:rStyle w:val="44"/>
                <w:rFonts w:hint="eastAsia" w:ascii="仿宋_GB2312" w:hAnsi="仿宋_GB2312" w:eastAsia="仿宋_GB2312" w:cs="仿宋_GB2312"/>
                <w:color w:val="auto"/>
                <w:spacing w:val="0"/>
                <w:sz w:val="22"/>
                <w:szCs w:val="22"/>
                <w:highlight w:val="none"/>
                <w:vertAlign w:val="baseline"/>
                <w:lang w:val="en-US" w:eastAsia="zh-CN"/>
              </w:rPr>
              <w:t>1.43</w:t>
            </w:r>
          </w:p>
        </w:tc>
        <w:tc>
          <w:tcPr>
            <w:tcW w:w="1312" w:type="pct"/>
          </w:tcPr>
          <w:p>
            <w:pPr>
              <w:pStyle w:val="17"/>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Style w:val="44"/>
                <w:rFonts w:hint="default" w:ascii="Times New Roman" w:hAnsi="Times New Roman" w:eastAsia="宋体" w:cs="Times New Roman"/>
                <w:color w:val="auto"/>
                <w:spacing w:val="0"/>
                <w:sz w:val="22"/>
                <w:szCs w:val="22"/>
                <w:highlight w:val="none"/>
                <w:vertAlign w:val="baseline"/>
                <w:lang w:val="en-US" w:eastAsia="zh-CN"/>
              </w:rPr>
            </w:pPr>
          </w:p>
        </w:tc>
      </w:tr>
    </w:tbl>
    <w:p>
      <w:pPr>
        <w:pStyle w:val="17"/>
        <w:jc w:val="center"/>
        <w:rPr>
          <w:rFonts w:hint="default" w:ascii="Times New Roman" w:hAnsi="Times New Roman" w:eastAsia="宋体" w:cs="Times New Roman"/>
          <w:color w:val="auto"/>
          <w:sz w:val="28"/>
          <w:szCs w:val="24"/>
          <w:highlight w:val="none"/>
          <w:lang w:val="en-US" w:eastAsia="zh-CN"/>
        </w:rPr>
      </w:pPr>
    </w:p>
    <w:sectPr>
      <w:pgSz w:w="11906" w:h="16838"/>
      <w:pgMar w:top="1440" w:right="850" w:bottom="1440" w:left="85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CC"/>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MingLiU">
    <w:altName w:val="Droid Sans Japanese"/>
    <w:panose1 w:val="02020309000000000000"/>
    <w:charset w:val="88"/>
    <w:family w:val="modern"/>
    <w:pitch w:val="default"/>
    <w:sig w:usb0="00000000" w:usb1="00000000" w:usb2="00000016" w:usb3="00000000" w:csb0="00100001" w:csb1="00000000"/>
  </w:font>
  <w:font w:name="MS Mincho">
    <w:altName w:val="Droid Sans Japanese"/>
    <w:panose1 w:val="02020609040205080304"/>
    <w:charset w:val="80"/>
    <w:family w:val="auto"/>
    <w:pitch w:val="default"/>
    <w:sig w:usb0="00000000" w:usb1="00000000" w:usb2="00000010" w:usb3="00000000" w:csb0="4002009F" w:csb1="DFD70000"/>
  </w:font>
  <w:font w:name="方正书宋_GBK">
    <w:panose1 w:val="02000000000000000000"/>
    <w:charset w:val="86"/>
    <w:family w:val="auto"/>
    <w:pitch w:val="default"/>
    <w:sig w:usb0="00000001" w:usb1="08000000" w:usb2="00000000" w:usb3="00000000" w:csb0="00040000" w:csb1="00000000"/>
  </w:font>
  <w:font w:name="SJQY">
    <w:altName w:val="Noto Serif CJK JP"/>
    <w:panose1 w:val="02010600030101010101"/>
    <w:charset w:val="00"/>
    <w:family w:val="auto"/>
    <w:pitch w:val="default"/>
    <w:sig w:usb0="00000000" w:usb1="00000000" w:usb2="00000000" w:usb3="00000000" w:csb0="00040001" w:csb1="00000000"/>
  </w:font>
  <w:font w:name="仿宋_GB2312">
    <w:panose1 w:val="02010609030101010101"/>
    <w:charset w:val="86"/>
    <w:family w:val="auto"/>
    <w:pitch w:val="default"/>
    <w:sig w:usb0="00000001" w:usb1="080E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方正宋体S-超大字符集">
    <w:panose1 w:val="02000000000000000000"/>
    <w:charset w:val="86"/>
    <w:family w:val="auto"/>
    <w:pitch w:val="default"/>
    <w:sig w:usb0="00000001" w:usb1="08000000" w:usb2="00000000" w:usb3="00000000" w:csb0="00040000" w:csb1="00000000"/>
  </w:font>
  <w:font w:name="Noto Serif CJK JP">
    <w:panose1 w:val="02020500000000000000"/>
    <w:charset w:val="86"/>
    <w:family w:val="auto"/>
    <w:pitch w:val="default"/>
    <w:sig w:usb0="30000083" w:usb1="2BDF3C10" w:usb2="00000016" w:usb3="00000000" w:csb0="602E0107" w:csb1="00000000"/>
  </w:font>
  <w:font w:name="Droid Sans Japanese">
    <w:panose1 w:val="020B0502000000000001"/>
    <w:charset w:val="00"/>
    <w:family w:val="auto"/>
    <w:pitch w:val="default"/>
    <w:sig w:usb0="80000000" w:usb1="08070000" w:usb2="0000001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rPr>
                              <w:rFonts w:hint="eastAsia"/>
                              <w:lang w:val="en-US" w:eastAsia="zh-CN"/>
                            </w:rPr>
                            <w:t>1-</w:t>
                          </w: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14"/>
                    </w:pPr>
                    <w:r>
                      <w:rPr>
                        <w:rFonts w:hint="eastAsia"/>
                        <w:lang w:val="en-US" w:eastAsia="zh-CN"/>
                      </w:rPr>
                      <w:t>1-</w:t>
                    </w: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margin" w:xAlign="outside" w:y="1"/>
      <w:rPr>
        <w:rStyle w:val="26"/>
      </w:rPr>
    </w:pPr>
    <w:r>
      <w:rPr>
        <w:rStyle w:val="26"/>
        <w:rFonts w:hint="eastAsia"/>
        <w:lang w:eastAsia="zh-CN"/>
      </w:rPr>
      <w:t>1</w:t>
    </w:r>
    <w:r>
      <w:rPr>
        <w:rStyle w:val="26"/>
        <w:rFonts w:hint="eastAsia"/>
      </w:rPr>
      <w:t>-</w:t>
    </w:r>
    <w:r>
      <w:rPr>
        <w:rStyle w:val="26"/>
      </w:rPr>
      <w:fldChar w:fldCharType="begin"/>
    </w:r>
    <w:r>
      <w:rPr>
        <w:rStyle w:val="26"/>
      </w:rPr>
      <w:instrText xml:space="preserve">PAGE  </w:instrText>
    </w:r>
    <w:r>
      <w:rPr>
        <w:rStyle w:val="26"/>
      </w:rPr>
      <w:fldChar w:fldCharType="separate"/>
    </w:r>
    <w:r>
      <w:rPr>
        <w:rStyle w:val="26"/>
      </w:rPr>
      <w:t>5</w:t>
    </w:r>
    <w:r>
      <w:rPr>
        <w:rStyle w:val="26"/>
      </w:rPr>
      <w:fldChar w:fldCharType="end"/>
    </w:r>
  </w:p>
  <w:p>
    <w:pPr>
      <w:pStyle w:val="14"/>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02388"/>
    <w:multiLevelType w:val="multilevel"/>
    <w:tmpl w:val="60102388"/>
    <w:lvl w:ilvl="0" w:tentative="0">
      <w:start w:val="2"/>
      <w:numFmt w:val="decimal"/>
      <w:suff w:val="nothing"/>
      <w:lvlText w:val="%1    "/>
      <w:lvlJc w:val="left"/>
      <w:pPr>
        <w:ind w:left="0" w:firstLine="0"/>
      </w:pPr>
      <w:rPr>
        <w:rFonts w:hint="default" w:ascii="Times New Roman" w:hAnsi="Times New Roman" w:eastAsia="黑体"/>
        <w:b/>
        <w:i w:val="0"/>
        <w:sz w:val="30"/>
      </w:rPr>
    </w:lvl>
    <w:lvl w:ilvl="1" w:tentative="0">
      <w:start w:val="1"/>
      <w:numFmt w:val="decimal"/>
      <w:suff w:val="nothing"/>
      <w:lvlText w:val="%1.%2    "/>
      <w:lvlJc w:val="left"/>
      <w:pPr>
        <w:ind w:left="0" w:firstLine="0"/>
      </w:pPr>
      <w:rPr>
        <w:rFonts w:hint="default" w:ascii="Times New Roman" w:hAnsi="Times New Roman" w:eastAsia="黑体"/>
        <w:b/>
        <w:i w:val="0"/>
        <w:sz w:val="24"/>
      </w:rPr>
    </w:lvl>
    <w:lvl w:ilvl="2" w:tentative="0">
      <w:start w:val="1"/>
      <w:numFmt w:val="decimal"/>
      <w:pStyle w:val="72"/>
      <w:suff w:val="nothing"/>
      <w:lvlText w:val="%1.%2.%3    "/>
      <w:lvlJc w:val="left"/>
      <w:pPr>
        <w:ind w:left="0" w:firstLine="0"/>
      </w:pPr>
      <w:rPr>
        <w:rFonts w:hint="default" w:ascii="Times New Roman" w:hAnsi="Times New Roman" w:eastAsia="黑体"/>
        <w:b/>
        <w:i w:val="0"/>
        <w:sz w:val="24"/>
      </w:rPr>
    </w:lvl>
    <w:lvl w:ilvl="3" w:tentative="0">
      <w:start w:val="1"/>
      <w:numFmt w:val="decimal"/>
      <w:suff w:val="nothing"/>
      <w:lvlText w:val="%1.%2.%3.%4    "/>
      <w:lvlJc w:val="left"/>
      <w:pPr>
        <w:ind w:left="0" w:firstLine="0"/>
      </w:pPr>
      <w:rPr>
        <w:rFonts w:hint="default" w:ascii="Times New Roman" w:hAnsi="Times New Roman" w:eastAsia="宋体"/>
        <w:b w:val="0"/>
        <w:i w:val="0"/>
        <w:sz w:val="24"/>
      </w:rPr>
    </w:lvl>
    <w:lvl w:ilvl="4" w:tentative="0">
      <w:start w:val="1"/>
      <w:numFmt w:val="decimal"/>
      <w:suff w:val="nothing"/>
      <w:lvlText w:val="%1.%2.%3.%4.%5    "/>
      <w:lvlJc w:val="left"/>
      <w:pPr>
        <w:ind w:left="0" w:firstLine="0"/>
      </w:pPr>
      <w:rPr>
        <w:rFonts w:hint="default" w:ascii="Times New Roman" w:hAnsi="Times New Roman" w:eastAsia="宋体" w:cs="Times New Roman"/>
        <w:b w:val="0"/>
        <w:i w:val="0"/>
        <w:iCs w:val="0"/>
        <w:caps w:val="0"/>
        <w:smallCaps w:val="0"/>
        <w:strike w:val="0"/>
        <w:dstrike w:val="0"/>
        <w:vanish w:val="0"/>
        <w:spacing w:val="0"/>
        <w:position w:val="0"/>
        <w:sz w:val="24"/>
        <w:u w:val="none"/>
        <w:vertAlign w:val="baseline"/>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4Y2JjZjdiOTJhNjAyOTFkM2U4OGE3NjI4ODQ3MTgifQ=="/>
  </w:docVars>
  <w:rsids>
    <w:rsidRoot w:val="00000000"/>
    <w:rsid w:val="01D17990"/>
    <w:rsid w:val="02484038"/>
    <w:rsid w:val="02516A10"/>
    <w:rsid w:val="02E04C75"/>
    <w:rsid w:val="04457900"/>
    <w:rsid w:val="05C3315A"/>
    <w:rsid w:val="064B5078"/>
    <w:rsid w:val="073910B8"/>
    <w:rsid w:val="0B09160F"/>
    <w:rsid w:val="0B6F40B3"/>
    <w:rsid w:val="0B7F0123"/>
    <w:rsid w:val="0BE5207C"/>
    <w:rsid w:val="0D431BDA"/>
    <w:rsid w:val="0DC31DBE"/>
    <w:rsid w:val="0DEC37FC"/>
    <w:rsid w:val="0F24110D"/>
    <w:rsid w:val="0F3F1BDA"/>
    <w:rsid w:val="0FE50F5E"/>
    <w:rsid w:val="179062BF"/>
    <w:rsid w:val="19334CE0"/>
    <w:rsid w:val="19F7555B"/>
    <w:rsid w:val="1A7B09CC"/>
    <w:rsid w:val="1AD95243"/>
    <w:rsid w:val="1B48001A"/>
    <w:rsid w:val="1C525DC3"/>
    <w:rsid w:val="1CA002D9"/>
    <w:rsid w:val="1D4616AE"/>
    <w:rsid w:val="1EBB02E4"/>
    <w:rsid w:val="1F7C5F05"/>
    <w:rsid w:val="214B6A3C"/>
    <w:rsid w:val="2295339B"/>
    <w:rsid w:val="239F3CAB"/>
    <w:rsid w:val="242F6132"/>
    <w:rsid w:val="24361D14"/>
    <w:rsid w:val="2483298A"/>
    <w:rsid w:val="24985C06"/>
    <w:rsid w:val="24B8066A"/>
    <w:rsid w:val="24B92DCD"/>
    <w:rsid w:val="24D35E92"/>
    <w:rsid w:val="255F757E"/>
    <w:rsid w:val="266E47E1"/>
    <w:rsid w:val="26981AF1"/>
    <w:rsid w:val="277D1460"/>
    <w:rsid w:val="284D4DD9"/>
    <w:rsid w:val="287C29F4"/>
    <w:rsid w:val="288B3B53"/>
    <w:rsid w:val="29692FA5"/>
    <w:rsid w:val="2AAA637E"/>
    <w:rsid w:val="2B620940"/>
    <w:rsid w:val="2BAE77C2"/>
    <w:rsid w:val="2C185AE6"/>
    <w:rsid w:val="2D306549"/>
    <w:rsid w:val="2DC747E2"/>
    <w:rsid w:val="2E282E40"/>
    <w:rsid w:val="2E3D1C1C"/>
    <w:rsid w:val="2F2A280A"/>
    <w:rsid w:val="2F8B4A44"/>
    <w:rsid w:val="2FAC60FB"/>
    <w:rsid w:val="2FD2FB81"/>
    <w:rsid w:val="30B71F59"/>
    <w:rsid w:val="326C5134"/>
    <w:rsid w:val="328E572C"/>
    <w:rsid w:val="33F77C0E"/>
    <w:rsid w:val="34197A1D"/>
    <w:rsid w:val="343F5D0B"/>
    <w:rsid w:val="353C2DCA"/>
    <w:rsid w:val="3582027D"/>
    <w:rsid w:val="37DD7969"/>
    <w:rsid w:val="38F776C9"/>
    <w:rsid w:val="3A037FCD"/>
    <w:rsid w:val="3A6A03B0"/>
    <w:rsid w:val="3DAB2B66"/>
    <w:rsid w:val="3E7B5172"/>
    <w:rsid w:val="3EBB53CC"/>
    <w:rsid w:val="3FE84873"/>
    <w:rsid w:val="40346530"/>
    <w:rsid w:val="41A1281D"/>
    <w:rsid w:val="432C01F7"/>
    <w:rsid w:val="45440847"/>
    <w:rsid w:val="454F71C6"/>
    <w:rsid w:val="45CA143E"/>
    <w:rsid w:val="46CD7EB5"/>
    <w:rsid w:val="47D8004F"/>
    <w:rsid w:val="48326F51"/>
    <w:rsid w:val="497756A4"/>
    <w:rsid w:val="49B4184B"/>
    <w:rsid w:val="4D787676"/>
    <w:rsid w:val="4D7FDC67"/>
    <w:rsid w:val="4E0D6238"/>
    <w:rsid w:val="4E113CFC"/>
    <w:rsid w:val="4EF63ED2"/>
    <w:rsid w:val="4F163BA4"/>
    <w:rsid w:val="519B6B0A"/>
    <w:rsid w:val="525D731C"/>
    <w:rsid w:val="52A03BD4"/>
    <w:rsid w:val="535350EA"/>
    <w:rsid w:val="539F032F"/>
    <w:rsid w:val="55E59464"/>
    <w:rsid w:val="56246FB6"/>
    <w:rsid w:val="562D727D"/>
    <w:rsid w:val="57D73151"/>
    <w:rsid w:val="58E60B3E"/>
    <w:rsid w:val="59205A6E"/>
    <w:rsid w:val="5926299E"/>
    <w:rsid w:val="5A363AFA"/>
    <w:rsid w:val="5A500717"/>
    <w:rsid w:val="5AE21246"/>
    <w:rsid w:val="5B940305"/>
    <w:rsid w:val="5BD16148"/>
    <w:rsid w:val="5BD8176B"/>
    <w:rsid w:val="5D797BD5"/>
    <w:rsid w:val="5DFE6619"/>
    <w:rsid w:val="5EF46636"/>
    <w:rsid w:val="5F012239"/>
    <w:rsid w:val="5F755E84"/>
    <w:rsid w:val="616E0939"/>
    <w:rsid w:val="62405614"/>
    <w:rsid w:val="62473AA1"/>
    <w:rsid w:val="62550D54"/>
    <w:rsid w:val="63B20E49"/>
    <w:rsid w:val="65213FCD"/>
    <w:rsid w:val="657D6B4F"/>
    <w:rsid w:val="65F84C16"/>
    <w:rsid w:val="66BB44EF"/>
    <w:rsid w:val="672556C9"/>
    <w:rsid w:val="67A549DB"/>
    <w:rsid w:val="67AE3A97"/>
    <w:rsid w:val="67D76E75"/>
    <w:rsid w:val="67E21642"/>
    <w:rsid w:val="69444A9B"/>
    <w:rsid w:val="6A416EB8"/>
    <w:rsid w:val="6ACD10E1"/>
    <w:rsid w:val="6B71426E"/>
    <w:rsid w:val="6B786BD9"/>
    <w:rsid w:val="6CF25372"/>
    <w:rsid w:val="6DE26FFD"/>
    <w:rsid w:val="6E061C61"/>
    <w:rsid w:val="6F1A13E3"/>
    <w:rsid w:val="6F442761"/>
    <w:rsid w:val="6F7520E5"/>
    <w:rsid w:val="6FD28624"/>
    <w:rsid w:val="6FD82708"/>
    <w:rsid w:val="6FF30595"/>
    <w:rsid w:val="70D31E2A"/>
    <w:rsid w:val="727EB777"/>
    <w:rsid w:val="72DC66B3"/>
    <w:rsid w:val="72FA7C41"/>
    <w:rsid w:val="7498245E"/>
    <w:rsid w:val="75091655"/>
    <w:rsid w:val="764741E2"/>
    <w:rsid w:val="76DA7273"/>
    <w:rsid w:val="76FFBA4F"/>
    <w:rsid w:val="7709183D"/>
    <w:rsid w:val="770F332D"/>
    <w:rsid w:val="77B87893"/>
    <w:rsid w:val="77CC50AF"/>
    <w:rsid w:val="78B779A6"/>
    <w:rsid w:val="78D0293B"/>
    <w:rsid w:val="7A3B39B6"/>
    <w:rsid w:val="7A6A78F6"/>
    <w:rsid w:val="7A7F6BB0"/>
    <w:rsid w:val="7A95DD9B"/>
    <w:rsid w:val="7B4D01D8"/>
    <w:rsid w:val="7B52104C"/>
    <w:rsid w:val="7C261A2D"/>
    <w:rsid w:val="7CAB7325"/>
    <w:rsid w:val="7DA9ABF4"/>
    <w:rsid w:val="7DFF4FAD"/>
    <w:rsid w:val="7E9F7725"/>
    <w:rsid w:val="7F7F6150"/>
    <w:rsid w:val="7F7FF609"/>
    <w:rsid w:val="7FFB4B12"/>
    <w:rsid w:val="7FFC7AEB"/>
    <w:rsid w:val="967FA64E"/>
    <w:rsid w:val="9DEFFDBF"/>
    <w:rsid w:val="AEFE0926"/>
    <w:rsid w:val="B78E3597"/>
    <w:rsid w:val="BDCD0B5E"/>
    <w:rsid w:val="BDF6DF87"/>
    <w:rsid w:val="BEEEB224"/>
    <w:rsid w:val="BF6FBAB2"/>
    <w:rsid w:val="BFFFB065"/>
    <w:rsid w:val="DDDDFC22"/>
    <w:rsid w:val="DF7F3AE5"/>
    <w:rsid w:val="E3D73702"/>
    <w:rsid w:val="E49F6C9A"/>
    <w:rsid w:val="EF9FD644"/>
    <w:rsid w:val="EFAF8E28"/>
    <w:rsid w:val="F53F6A5B"/>
    <w:rsid w:val="F7FDF5DA"/>
    <w:rsid w:val="FABEB23E"/>
    <w:rsid w:val="FB64534F"/>
    <w:rsid w:val="FBDDEFD3"/>
    <w:rsid w:val="FD72E126"/>
    <w:rsid w:val="FDFFBBF1"/>
    <w:rsid w:val="FF91D08F"/>
    <w:rsid w:val="FFEDC75E"/>
    <w:rsid w:val="FFF74490"/>
    <w:rsid w:val="FFF76F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20" w:lineRule="exact"/>
      <w:ind w:firstLine="960" w:firstLineChars="200"/>
      <w:jc w:val="both"/>
    </w:pPr>
    <w:rPr>
      <w:rFonts w:ascii="Times New Roman" w:hAnsi="Times New Roman" w:eastAsia="宋体" w:cs="Times New Roman"/>
      <w:kern w:val="2"/>
      <w:sz w:val="24"/>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2"/>
    <w:basedOn w:val="1"/>
    <w:next w:val="1"/>
    <w:link w:val="56"/>
    <w:unhideWhenUsed/>
    <w:qFormat/>
    <w:uiPriority w:val="0"/>
    <w:pPr>
      <w:keepNext/>
      <w:keepLines/>
      <w:spacing w:before="50" w:beforeLines="50" w:beforeAutospacing="0" w:afterLines="0" w:afterAutospacing="0" w:line="520" w:lineRule="exact"/>
      <w:ind w:firstLine="0" w:firstLineChars="0"/>
      <w:jc w:val="left"/>
      <w:outlineLvl w:val="1"/>
    </w:pPr>
    <w:rPr>
      <w:rFonts w:ascii="Arial" w:hAnsi="Arial" w:eastAsia="黑体"/>
      <w:sz w:val="28"/>
    </w:rPr>
  </w:style>
  <w:style w:type="paragraph" w:styleId="5">
    <w:name w:val="heading 3"/>
    <w:basedOn w:val="1"/>
    <w:next w:val="1"/>
    <w:link w:val="65"/>
    <w:unhideWhenUsed/>
    <w:qFormat/>
    <w:uiPriority w:val="0"/>
    <w:pPr>
      <w:keepNext/>
      <w:keepLines/>
      <w:spacing w:before="50" w:beforeLines="50" w:beforeAutospacing="0" w:afterLines="0" w:afterAutospacing="0" w:line="360" w:lineRule="auto"/>
      <w:ind w:firstLine="0" w:firstLineChars="0"/>
      <w:jc w:val="left"/>
      <w:outlineLvl w:val="2"/>
    </w:pPr>
    <w:rPr>
      <w:b/>
    </w:rPr>
  </w:style>
  <w:style w:type="paragraph" w:styleId="6">
    <w:name w:val="heading 4"/>
    <w:basedOn w:val="1"/>
    <w:next w:val="1"/>
    <w:link w:val="32"/>
    <w:unhideWhenUsed/>
    <w:qFormat/>
    <w:uiPriority w:val="0"/>
    <w:pPr>
      <w:keepNext/>
      <w:keepLines/>
      <w:spacing w:before="50" w:beforeLines="50" w:beforeAutospacing="0" w:afterLines="0" w:afterAutospacing="0" w:line="360" w:lineRule="auto"/>
      <w:ind w:firstLine="0" w:firstLineChars="0"/>
      <w:jc w:val="left"/>
      <w:outlineLvl w:val="3"/>
    </w:pPr>
  </w:style>
  <w:style w:type="paragraph" w:styleId="7">
    <w:name w:val="heading 5"/>
    <w:basedOn w:val="1"/>
    <w:next w:val="1"/>
    <w:link w:val="50"/>
    <w:semiHidden/>
    <w:unhideWhenUsed/>
    <w:qFormat/>
    <w:uiPriority w:val="0"/>
    <w:pPr>
      <w:keepNext/>
      <w:keepLines/>
      <w:spacing w:before="280" w:beforeLines="0" w:beforeAutospacing="0" w:after="290" w:afterLines="0" w:afterAutospacing="0" w:line="372" w:lineRule="auto"/>
      <w:outlineLvl w:val="4"/>
    </w:pPr>
    <w:rPr>
      <w:b/>
      <w:sz w:val="28"/>
    </w:rPr>
  </w:style>
  <w:style w:type="character" w:default="1" w:styleId="25">
    <w:name w:val="Default Paragraph Font"/>
    <w:semiHidden/>
    <w:qFormat/>
    <w:uiPriority w:val="0"/>
  </w:style>
  <w:style w:type="table" w:default="1" w:styleId="23">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0"/>
    <w:pPr>
      <w:spacing w:after="120"/>
    </w:pPr>
    <w:rPr>
      <w:rFonts w:ascii="Calibri" w:hAnsi="Calibri" w:eastAsia="宋体" w:cs="Times New Roman"/>
      <w:szCs w:val="22"/>
    </w:rPr>
  </w:style>
  <w:style w:type="paragraph" w:styleId="8">
    <w:name w:val="Normal Indent"/>
    <w:basedOn w:val="1"/>
    <w:qFormat/>
    <w:uiPriority w:val="0"/>
    <w:pPr>
      <w:ind w:firstLine="420"/>
    </w:pPr>
    <w:rPr>
      <w:sz w:val="28"/>
      <w:szCs w:val="20"/>
    </w:rPr>
  </w:style>
  <w:style w:type="paragraph" w:styleId="9">
    <w:name w:val="caption"/>
    <w:basedOn w:val="1"/>
    <w:next w:val="1"/>
    <w:unhideWhenUsed/>
    <w:qFormat/>
    <w:uiPriority w:val="35"/>
    <w:pPr>
      <w:textAlignment w:val="center"/>
    </w:pPr>
    <w:rPr>
      <w:rFonts w:eastAsia="黑体"/>
      <w:sz w:val="21"/>
      <w:szCs w:val="20"/>
    </w:rPr>
  </w:style>
  <w:style w:type="paragraph" w:styleId="10">
    <w:name w:val="annotation text"/>
    <w:basedOn w:val="1"/>
    <w:qFormat/>
    <w:uiPriority w:val="0"/>
    <w:pPr>
      <w:jc w:val="left"/>
    </w:pPr>
  </w:style>
  <w:style w:type="paragraph" w:styleId="11">
    <w:name w:val="Plain Text"/>
    <w:basedOn w:val="1"/>
    <w:qFormat/>
    <w:uiPriority w:val="0"/>
    <w:rPr>
      <w:rFonts w:ascii="宋体" w:hAnsi="Courier New"/>
      <w:szCs w:val="20"/>
    </w:rPr>
  </w:style>
  <w:style w:type="paragraph" w:styleId="12">
    <w:name w:val="Date"/>
    <w:basedOn w:val="1"/>
    <w:next w:val="1"/>
    <w:qFormat/>
    <w:uiPriority w:val="0"/>
    <w:rPr>
      <w:rFonts w:ascii="宋体"/>
      <w:position w:val="0"/>
    </w:rPr>
  </w:style>
  <w:style w:type="paragraph" w:styleId="13">
    <w:name w:val="Body Text Indent 2"/>
    <w:basedOn w:val="1"/>
    <w:unhideWhenUsed/>
    <w:qFormat/>
    <w:uiPriority w:val="0"/>
    <w:pPr>
      <w:spacing w:after="120" w:line="480" w:lineRule="auto"/>
      <w:ind w:left="420" w:leftChars="200"/>
    </w:pPr>
  </w:style>
  <w:style w:type="paragraph" w:styleId="14">
    <w:name w:val="footer"/>
    <w:basedOn w:val="1"/>
    <w:qFormat/>
    <w:uiPriority w:val="0"/>
    <w:pPr>
      <w:tabs>
        <w:tab w:val="center" w:pos="4153"/>
        <w:tab w:val="right" w:pos="8306"/>
      </w:tabs>
      <w:snapToGrid w:val="0"/>
      <w:jc w:val="left"/>
    </w:pPr>
    <w:rPr>
      <w:sz w:val="18"/>
    </w:rPr>
  </w:style>
  <w:style w:type="paragraph" w:styleId="1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6">
    <w:name w:val="toc 1"/>
    <w:basedOn w:val="1"/>
    <w:next w:val="1"/>
    <w:qFormat/>
    <w:uiPriority w:val="0"/>
  </w:style>
  <w:style w:type="paragraph" w:styleId="17">
    <w:name w:val="List"/>
    <w:basedOn w:val="1"/>
    <w:qFormat/>
    <w:uiPriority w:val="0"/>
    <w:pPr>
      <w:ind w:left="200" w:hanging="200" w:hangingChars="200"/>
    </w:pPr>
  </w:style>
  <w:style w:type="paragraph" w:styleId="18">
    <w:name w:val="Body Text Indent 3"/>
    <w:basedOn w:val="1"/>
    <w:qFormat/>
    <w:uiPriority w:val="0"/>
    <w:pPr>
      <w:spacing w:after="120"/>
      <w:ind w:left="420" w:leftChars="200"/>
    </w:pPr>
    <w:rPr>
      <w:sz w:val="16"/>
      <w:szCs w:val="16"/>
    </w:rPr>
  </w:style>
  <w:style w:type="paragraph" w:styleId="19">
    <w:name w:val="toc 2"/>
    <w:basedOn w:val="1"/>
    <w:next w:val="1"/>
    <w:link w:val="45"/>
    <w:qFormat/>
    <w:uiPriority w:val="0"/>
    <w:pPr>
      <w:ind w:left="420" w:leftChars="200"/>
    </w:pPr>
  </w:style>
  <w:style w:type="paragraph" w:styleId="20">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spacing w:line="360" w:lineRule="auto"/>
      <w:ind w:left="1080" w:leftChars="500" w:hanging="1080" w:hangingChars="500"/>
    </w:pPr>
    <w:rPr>
      <w:rFonts w:ascii="Arial" w:hAnsi="Arial"/>
      <w:sz w:val="24"/>
    </w:rPr>
  </w:style>
  <w:style w:type="paragraph" w:styleId="21">
    <w:name w:val="Body Text First Indent"/>
    <w:next w:val="22"/>
    <w:qFormat/>
    <w:uiPriority w:val="99"/>
    <w:pPr>
      <w:widowControl w:val="0"/>
      <w:spacing w:line="360" w:lineRule="auto"/>
      <w:ind w:firstLine="200" w:firstLineChars="200"/>
    </w:pPr>
    <w:rPr>
      <w:rFonts w:ascii="Times New Roman" w:hAnsi="Times New Roman" w:eastAsia="宋体" w:cs="Times New Roman"/>
      <w:b/>
      <w:kern w:val="2"/>
      <w:sz w:val="24"/>
      <w:szCs w:val="28"/>
      <w:lang w:val="en-US" w:eastAsia="zh-CN" w:bidi="ar-SA"/>
    </w:rPr>
  </w:style>
  <w:style w:type="paragraph" w:styleId="22">
    <w:name w:val="Body Text First Indent 2"/>
    <w:qFormat/>
    <w:uiPriority w:val="0"/>
    <w:pPr>
      <w:widowControl w:val="0"/>
      <w:spacing w:after="120"/>
      <w:ind w:left="420" w:leftChars="200" w:firstLine="420" w:firstLineChars="200"/>
      <w:jc w:val="both"/>
    </w:pPr>
    <w:rPr>
      <w:rFonts w:ascii="Times New Roman" w:hAnsi="Times New Roman" w:eastAsia="宋体" w:cs="Times New Roman"/>
      <w:kern w:val="2"/>
      <w:sz w:val="28"/>
      <w:szCs w:val="28"/>
      <w:lang w:val="en-US" w:eastAsia="zh-CN" w:bidi="ar-SA"/>
    </w:rPr>
  </w:style>
  <w:style w:type="table" w:styleId="24">
    <w:name w:val="Table Grid"/>
    <w:basedOn w:val="2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page number"/>
    <w:basedOn w:val="25"/>
    <w:qFormat/>
    <w:uiPriority w:val="99"/>
  </w:style>
  <w:style w:type="paragraph" w:customStyle="1" w:styleId="27">
    <w:name w:val="Plain Text1"/>
    <w:basedOn w:val="1"/>
    <w:qFormat/>
    <w:uiPriority w:val="99"/>
    <w:pPr>
      <w:adjustRightInd w:val="0"/>
      <w:spacing w:line="240" w:lineRule="auto"/>
      <w:ind w:firstLine="0" w:firstLineChars="0"/>
    </w:pPr>
    <w:rPr>
      <w:rFonts w:ascii="宋体" w:cs="Times New Roman"/>
      <w:kern w:val="0"/>
      <w:szCs w:val="20"/>
    </w:rPr>
  </w:style>
  <w:style w:type="paragraph" w:customStyle="1" w:styleId="28">
    <w:name w:val="WPSOffice手动目录 2"/>
    <w:qFormat/>
    <w:uiPriority w:val="0"/>
    <w:pPr>
      <w:ind w:leftChars="200"/>
    </w:pPr>
    <w:rPr>
      <w:rFonts w:ascii="Times New Roman" w:hAnsi="Times New Roman" w:eastAsia="宋体" w:cs="Times New Roman"/>
      <w:sz w:val="20"/>
      <w:szCs w:val="20"/>
    </w:rPr>
  </w:style>
  <w:style w:type="paragraph" w:customStyle="1" w:styleId="29">
    <w:name w:val="正文(小4宋)"/>
    <w:basedOn w:val="1"/>
    <w:qFormat/>
    <w:uiPriority w:val="0"/>
    <w:pPr>
      <w:adjustRightInd/>
      <w:snapToGrid/>
      <w:spacing w:line="520" w:lineRule="exact"/>
      <w:ind w:firstLine="200" w:firstLineChars="200"/>
      <w:jc w:val="both"/>
    </w:pPr>
    <w:rPr>
      <w:rFonts w:ascii="宋体"/>
      <w:szCs w:val="20"/>
    </w:rPr>
  </w:style>
  <w:style w:type="paragraph" w:customStyle="1" w:styleId="30">
    <w:name w:val="正文 首行缩进： 2 字符"/>
    <w:basedOn w:val="1"/>
    <w:qFormat/>
    <w:uiPriority w:val="0"/>
    <w:pPr>
      <w:ind w:firstLine="480" w:firstLineChars="200"/>
      <w:textAlignment w:val="center"/>
    </w:pPr>
    <w:rPr>
      <w:rFonts w:cs="宋体"/>
      <w:szCs w:val="20"/>
      <w:lang w:val="zh-CN"/>
    </w:rPr>
  </w:style>
  <w:style w:type="paragraph" w:styleId="31">
    <w:name w:val="List Paragraph"/>
    <w:basedOn w:val="1"/>
    <w:qFormat/>
    <w:uiPriority w:val="34"/>
    <w:pPr>
      <w:ind w:firstLine="420" w:firstLineChars="200"/>
    </w:pPr>
  </w:style>
  <w:style w:type="character" w:customStyle="1" w:styleId="32">
    <w:name w:val="标题 4 Char"/>
    <w:link w:val="6"/>
    <w:qFormat/>
    <w:uiPriority w:val="0"/>
    <w:rPr>
      <w:rFonts w:ascii="Times New Roman" w:hAnsi="Times New Roman" w:eastAsia="宋体"/>
      <w:sz w:val="24"/>
    </w:rPr>
  </w:style>
  <w:style w:type="paragraph" w:customStyle="1" w:styleId="33">
    <w:name w:val="正文-海洋"/>
    <w:basedOn w:val="1"/>
    <w:link w:val="36"/>
    <w:qFormat/>
    <w:uiPriority w:val="0"/>
    <w:pPr>
      <w:spacing w:line="520" w:lineRule="exact"/>
      <w:ind w:firstLine="520"/>
    </w:pPr>
    <w:rPr>
      <w:rFonts w:cs="宋体"/>
      <w:sz w:val="24"/>
      <w:szCs w:val="24"/>
    </w:rPr>
  </w:style>
  <w:style w:type="paragraph" w:customStyle="1" w:styleId="34">
    <w:name w:val="表头"/>
    <w:basedOn w:val="33"/>
    <w:next w:val="33"/>
    <w:link w:val="35"/>
    <w:qFormat/>
    <w:uiPriority w:val="0"/>
    <w:pPr>
      <w:spacing w:line="500" w:lineRule="atLeast"/>
    </w:pPr>
    <w:rPr>
      <w:rFonts w:eastAsia="黑体"/>
    </w:rPr>
  </w:style>
  <w:style w:type="character" w:customStyle="1" w:styleId="35">
    <w:name w:val="表头 Char"/>
    <w:basedOn w:val="36"/>
    <w:link w:val="34"/>
    <w:qFormat/>
    <w:uiPriority w:val="0"/>
    <w:rPr>
      <w:rFonts w:eastAsia="黑体"/>
    </w:rPr>
  </w:style>
  <w:style w:type="character" w:customStyle="1" w:styleId="36">
    <w:name w:val="正文-海洋 Char Char"/>
    <w:basedOn w:val="25"/>
    <w:link w:val="33"/>
    <w:qFormat/>
    <w:uiPriority w:val="0"/>
    <w:rPr>
      <w:rFonts w:cs="宋体"/>
      <w:sz w:val="24"/>
      <w:szCs w:val="24"/>
    </w:rPr>
  </w:style>
  <w:style w:type="paragraph" w:customStyle="1" w:styleId="37">
    <w:name w:val="Char"/>
    <w:basedOn w:val="1"/>
    <w:qFormat/>
    <w:uiPriority w:val="0"/>
    <w:pPr>
      <w:spacing w:line="480" w:lineRule="exact"/>
    </w:pPr>
    <w:rPr>
      <w:sz w:val="24"/>
      <w:szCs w:val="24"/>
    </w:rPr>
  </w:style>
  <w:style w:type="paragraph" w:customStyle="1" w:styleId="38">
    <w:name w:val="HCH正文"/>
    <w:qFormat/>
    <w:uiPriority w:val="0"/>
    <w:pPr>
      <w:spacing w:line="500" w:lineRule="exact"/>
      <w:ind w:firstLine="200" w:firstLineChars="200"/>
    </w:pPr>
    <w:rPr>
      <w:rFonts w:ascii="Times New Roman" w:hAnsi="Times New Roman" w:eastAsia="宋体" w:cs="Times New Roman"/>
      <w:kern w:val="2"/>
      <w:sz w:val="24"/>
      <w:szCs w:val="21"/>
      <w:lang w:val="en-US" w:eastAsia="zh-CN" w:bidi="ar-SA"/>
    </w:rPr>
  </w:style>
  <w:style w:type="paragraph" w:customStyle="1" w:styleId="39">
    <w:name w:val="表格"/>
    <w:next w:val="20"/>
    <w:qFormat/>
    <w:uiPriority w:val="0"/>
    <w:pPr>
      <w:jc w:val="center"/>
    </w:pPr>
    <w:rPr>
      <w:rFonts w:ascii="Times New Roman" w:hAnsi="Times New Roman" w:eastAsia="黑体" w:cs="Times New Roman"/>
      <w:sz w:val="24"/>
      <w:lang w:val="en-US" w:eastAsia="zh-CN" w:bidi="ar-SA"/>
    </w:rPr>
  </w:style>
  <w:style w:type="paragraph" w:customStyle="1" w:styleId="40">
    <w:name w:val="表格文字"/>
    <w:next w:val="1"/>
    <w:qFormat/>
    <w:uiPriority w:val="0"/>
    <w:rPr>
      <w:rFonts w:ascii="Times New Roman" w:hAnsi="Times New Roman" w:eastAsia="宋体" w:cs="Times New Roman"/>
      <w:sz w:val="21"/>
      <w:lang w:val="en-US" w:eastAsia="zh-CN" w:bidi="ar-SA"/>
    </w:rPr>
  </w:style>
  <w:style w:type="paragraph" w:customStyle="1" w:styleId="41">
    <w:name w:val="HCH图(表)头"/>
    <w:qFormat/>
    <w:uiPriority w:val="0"/>
    <w:pPr>
      <w:spacing w:line="500" w:lineRule="exact"/>
      <w:jc w:val="center"/>
    </w:pPr>
    <w:rPr>
      <w:rFonts w:ascii="Times New Roman" w:hAnsi="Times New Roman" w:eastAsia="宋体" w:cs="Times New Roman"/>
      <w:b/>
      <w:kern w:val="2"/>
      <w:sz w:val="24"/>
      <w:szCs w:val="21"/>
      <w:lang w:val="en-US" w:eastAsia="zh-CN" w:bidi="ar-SA"/>
    </w:rPr>
  </w:style>
  <w:style w:type="paragraph" w:customStyle="1" w:styleId="42">
    <w:name w:val="HCH图(表)"/>
    <w:qFormat/>
    <w:uiPriority w:val="0"/>
    <w:pPr>
      <w:widowControl w:val="0"/>
      <w:jc w:val="center"/>
    </w:pPr>
    <w:rPr>
      <w:rFonts w:ascii="Times New Roman" w:hAnsi="Times New Roman" w:eastAsia="宋体" w:cs="Times New Roman"/>
      <w:bCs/>
      <w:kern w:val="2"/>
      <w:sz w:val="21"/>
      <w:szCs w:val="21"/>
      <w:lang w:val="en-US" w:eastAsia="zh-CN" w:bidi="ar-SA"/>
    </w:rPr>
  </w:style>
  <w:style w:type="paragraph" w:customStyle="1" w:styleId="43">
    <w:name w:val="HCH图(表)备注"/>
    <w:qFormat/>
    <w:uiPriority w:val="0"/>
    <w:rPr>
      <w:rFonts w:ascii="Times New Roman" w:hAnsi="Times New Roman" w:eastAsia="宋体" w:cs="Times New Roman"/>
      <w:sz w:val="21"/>
      <w:szCs w:val="21"/>
      <w:lang w:val="en-US" w:eastAsia="zh-CN" w:bidi="ar-SA"/>
    </w:rPr>
  </w:style>
  <w:style w:type="character" w:customStyle="1" w:styleId="44">
    <w:name w:val="标题 #1"/>
    <w:qFormat/>
    <w:uiPriority w:val="0"/>
    <w:rPr>
      <w:rFonts w:ascii="MingLiU" w:hAnsi="MingLiU" w:eastAsia="MingLiU" w:cs="MingLiU"/>
      <w:color w:val="000000"/>
      <w:spacing w:val="20"/>
      <w:w w:val="100"/>
      <w:position w:val="0"/>
      <w:sz w:val="33"/>
      <w:szCs w:val="33"/>
      <w:u w:val="none"/>
      <w:lang w:val="zh-TW"/>
    </w:rPr>
  </w:style>
  <w:style w:type="character" w:customStyle="1" w:styleId="45">
    <w:name w:val="目录 2 Char"/>
    <w:link w:val="19"/>
    <w:qFormat/>
    <w:uiPriority w:val="0"/>
  </w:style>
  <w:style w:type="paragraph" w:customStyle="1" w:styleId="46">
    <w:name w:val="6级标题"/>
    <w:basedOn w:val="1"/>
    <w:qFormat/>
    <w:uiPriority w:val="0"/>
    <w:pPr>
      <w:spacing w:line="500" w:lineRule="atLeast"/>
      <w:jc w:val="center"/>
    </w:pPr>
    <w:rPr>
      <w:rFonts w:eastAsia="黑体" w:cs="宋体"/>
      <w:sz w:val="24"/>
      <w:szCs w:val="24"/>
    </w:rPr>
  </w:style>
  <w:style w:type="paragraph" w:customStyle="1" w:styleId="47">
    <w:name w:val="2级标题"/>
    <w:basedOn w:val="1"/>
    <w:qFormat/>
    <w:uiPriority w:val="0"/>
    <w:pPr>
      <w:spacing w:line="500" w:lineRule="atLeast"/>
    </w:pPr>
    <w:rPr>
      <w:rFonts w:eastAsia="黑体"/>
      <w:sz w:val="24"/>
      <w:szCs w:val="24"/>
    </w:rPr>
  </w:style>
  <w:style w:type="paragraph" w:customStyle="1" w:styleId="48">
    <w:name w:val="3级标题"/>
    <w:basedOn w:val="1"/>
    <w:qFormat/>
    <w:uiPriority w:val="0"/>
    <w:pPr>
      <w:spacing w:line="500" w:lineRule="atLeast"/>
    </w:pPr>
    <w:rPr>
      <w:b/>
      <w:sz w:val="24"/>
      <w:szCs w:val="24"/>
    </w:rPr>
  </w:style>
  <w:style w:type="paragraph" w:customStyle="1" w:styleId="49">
    <w:name w:val="Body text|1"/>
    <w:basedOn w:val="1"/>
    <w:qFormat/>
    <w:uiPriority w:val="0"/>
    <w:pPr>
      <w:widowControl w:val="0"/>
      <w:shd w:val="clear" w:color="auto" w:fill="auto"/>
    </w:pPr>
    <w:rPr>
      <w:rFonts w:ascii="宋体" w:hAnsi="宋体" w:eastAsia="宋体" w:cs="宋体"/>
      <w:color w:val="3B3732"/>
      <w:sz w:val="20"/>
      <w:szCs w:val="20"/>
      <w:u w:val="none"/>
      <w:shd w:val="clear" w:color="auto" w:fill="auto"/>
      <w:lang w:val="zh-TW" w:eastAsia="zh-TW" w:bidi="zh-TW"/>
    </w:rPr>
  </w:style>
  <w:style w:type="character" w:customStyle="1" w:styleId="50">
    <w:name w:val="标题 5 Char"/>
    <w:link w:val="7"/>
    <w:qFormat/>
    <w:uiPriority w:val="0"/>
    <w:rPr>
      <w:b/>
      <w:sz w:val="28"/>
    </w:rPr>
  </w:style>
  <w:style w:type="character" w:customStyle="1" w:styleId="51">
    <w:name w:val="font61"/>
    <w:basedOn w:val="25"/>
    <w:qFormat/>
    <w:uiPriority w:val="0"/>
    <w:rPr>
      <w:rFonts w:hint="default" w:ascii="Times New Roman" w:hAnsi="Times New Roman" w:cs="Times New Roman"/>
      <w:color w:val="000000"/>
      <w:sz w:val="21"/>
      <w:szCs w:val="21"/>
      <w:u w:val="none"/>
    </w:rPr>
  </w:style>
  <w:style w:type="character" w:customStyle="1" w:styleId="52">
    <w:name w:val="font51"/>
    <w:basedOn w:val="25"/>
    <w:qFormat/>
    <w:uiPriority w:val="0"/>
    <w:rPr>
      <w:rFonts w:hint="eastAsia" w:ascii="宋体" w:hAnsi="宋体" w:eastAsia="宋体" w:cs="宋体"/>
      <w:color w:val="000000"/>
      <w:sz w:val="21"/>
      <w:szCs w:val="21"/>
      <w:u w:val="none"/>
    </w:rPr>
  </w:style>
  <w:style w:type="character" w:customStyle="1" w:styleId="53">
    <w:name w:val="font21"/>
    <w:basedOn w:val="25"/>
    <w:qFormat/>
    <w:uiPriority w:val="0"/>
    <w:rPr>
      <w:rFonts w:hint="default" w:ascii="Times New Roman" w:hAnsi="Times New Roman" w:cs="Times New Roman"/>
      <w:color w:val="000000"/>
      <w:sz w:val="18"/>
      <w:szCs w:val="18"/>
      <w:u w:val="none"/>
      <w:vertAlign w:val="superscript"/>
    </w:rPr>
  </w:style>
  <w:style w:type="character" w:customStyle="1" w:styleId="54">
    <w:name w:val="font11"/>
    <w:basedOn w:val="25"/>
    <w:qFormat/>
    <w:uiPriority w:val="0"/>
    <w:rPr>
      <w:rFonts w:ascii="MS Mincho" w:hAnsi="MS Mincho" w:eastAsia="MS Mincho" w:cs="MS Mincho"/>
      <w:color w:val="000000"/>
      <w:sz w:val="21"/>
      <w:szCs w:val="21"/>
      <w:u w:val="none"/>
    </w:rPr>
  </w:style>
  <w:style w:type="character" w:customStyle="1" w:styleId="55">
    <w:name w:val="font01"/>
    <w:basedOn w:val="25"/>
    <w:qFormat/>
    <w:uiPriority w:val="0"/>
    <w:rPr>
      <w:rFonts w:ascii="方正书宋_GBK" w:hAnsi="方正书宋_GBK" w:eastAsia="方正书宋_GBK" w:cs="方正书宋_GBK"/>
      <w:color w:val="000000"/>
      <w:sz w:val="21"/>
      <w:szCs w:val="21"/>
      <w:u w:val="none"/>
    </w:rPr>
  </w:style>
  <w:style w:type="character" w:customStyle="1" w:styleId="56">
    <w:name w:val="标题 2 Char"/>
    <w:link w:val="4"/>
    <w:qFormat/>
    <w:uiPriority w:val="9"/>
    <w:rPr>
      <w:rFonts w:ascii="Arial" w:hAnsi="Arial" w:eastAsia="黑体"/>
      <w:sz w:val="28"/>
    </w:rPr>
  </w:style>
  <w:style w:type="paragraph" w:customStyle="1" w:styleId="57">
    <w:name w:val="2"/>
    <w:basedOn w:val="4"/>
    <w:qFormat/>
    <w:uiPriority w:val="0"/>
    <w:pPr>
      <w:keepNext w:val="0"/>
      <w:keepLines w:val="0"/>
      <w:adjustRightInd w:val="0"/>
      <w:snapToGrid w:val="0"/>
      <w:spacing w:before="0" w:after="0" w:line="500" w:lineRule="atLeast"/>
    </w:pPr>
    <w:rPr>
      <w:rFonts w:ascii="Times New Roman" w:hAnsi="Times New Roman" w:eastAsia="宋体" w:cs="Times New Roman"/>
      <w:sz w:val="24"/>
      <w:szCs w:val="24"/>
    </w:rPr>
  </w:style>
  <w:style w:type="paragraph" w:customStyle="1" w:styleId="58">
    <w:name w:val="1"/>
    <w:basedOn w:val="1"/>
    <w:next w:val="8"/>
    <w:qFormat/>
    <w:uiPriority w:val="0"/>
    <w:pPr>
      <w:spacing w:line="500" w:lineRule="atLeast"/>
      <w:ind w:firstLine="480" w:firstLineChars="200"/>
    </w:pPr>
    <w:rPr>
      <w:sz w:val="24"/>
    </w:rPr>
  </w:style>
  <w:style w:type="paragraph" w:customStyle="1" w:styleId="59">
    <w:name w:val=" Char3"/>
    <w:basedOn w:val="1"/>
    <w:qFormat/>
    <w:uiPriority w:val="0"/>
    <w:pPr>
      <w:spacing w:line="360" w:lineRule="auto"/>
      <w:ind w:firstLine="200" w:firstLineChars="200"/>
    </w:pPr>
    <w:rPr>
      <w:rFonts w:ascii="宋体" w:hAnsi="宋体" w:cs="宋体"/>
      <w:sz w:val="24"/>
    </w:rPr>
  </w:style>
  <w:style w:type="character" w:customStyle="1" w:styleId="60">
    <w:name w:val="font41"/>
    <w:basedOn w:val="25"/>
    <w:qFormat/>
    <w:uiPriority w:val="0"/>
    <w:rPr>
      <w:rFonts w:hint="default" w:ascii="Times New Roman" w:hAnsi="Times New Roman" w:cs="Times New Roman"/>
      <w:color w:val="000000"/>
      <w:sz w:val="21"/>
      <w:szCs w:val="21"/>
      <w:u w:val="none"/>
    </w:rPr>
  </w:style>
  <w:style w:type="character" w:customStyle="1" w:styleId="61">
    <w:name w:val="font31"/>
    <w:basedOn w:val="25"/>
    <w:qFormat/>
    <w:uiPriority w:val="0"/>
    <w:rPr>
      <w:rFonts w:hint="eastAsia" w:ascii="宋体" w:hAnsi="宋体" w:eastAsia="宋体" w:cs="宋体"/>
      <w:b/>
      <w:bCs/>
      <w:color w:val="000000"/>
      <w:sz w:val="21"/>
      <w:szCs w:val="21"/>
      <w:u w:val="none"/>
    </w:rPr>
  </w:style>
  <w:style w:type="paragraph" w:customStyle="1" w:styleId="62">
    <w:name w:val="表格式"/>
    <w:qFormat/>
    <w:uiPriority w:val="0"/>
    <w:pPr>
      <w:widowControl w:val="0"/>
      <w:jc w:val="center"/>
    </w:pPr>
    <w:rPr>
      <w:rFonts w:ascii="Times New Roman" w:hAnsi="Times New Roman" w:eastAsia="宋体" w:cs="Times New Roman"/>
      <w:bCs/>
      <w:kern w:val="2"/>
      <w:sz w:val="21"/>
      <w:szCs w:val="21"/>
      <w:lang w:val="en-US" w:eastAsia="zh-CN" w:bidi="ar-SA"/>
    </w:rPr>
  </w:style>
  <w:style w:type="paragraph" w:customStyle="1" w:styleId="63">
    <w:name w:val="Other|1"/>
    <w:basedOn w:val="1"/>
    <w:qFormat/>
    <w:uiPriority w:val="0"/>
    <w:pPr>
      <w:widowControl w:val="0"/>
      <w:shd w:val="clear" w:color="auto" w:fill="auto"/>
      <w:spacing w:after="200" w:line="266" w:lineRule="auto"/>
      <w:ind w:firstLine="400"/>
    </w:pPr>
    <w:rPr>
      <w:rFonts w:ascii="宋体" w:hAnsi="宋体" w:eastAsia="宋体" w:cs="宋体"/>
      <w:color w:val="3B3732"/>
      <w:sz w:val="18"/>
      <w:szCs w:val="18"/>
      <w:u w:val="none"/>
      <w:shd w:val="clear" w:color="auto" w:fill="auto"/>
      <w:lang w:val="zh-TW" w:eastAsia="zh-TW" w:bidi="zh-TW"/>
    </w:rPr>
  </w:style>
  <w:style w:type="paragraph" w:customStyle="1" w:styleId="64">
    <w:name w:val="Table caption|1"/>
    <w:basedOn w:val="1"/>
    <w:qFormat/>
    <w:uiPriority w:val="0"/>
    <w:pPr>
      <w:widowControl w:val="0"/>
      <w:shd w:val="clear" w:color="auto" w:fill="auto"/>
    </w:pPr>
    <w:rPr>
      <w:rFonts w:ascii="宋体" w:hAnsi="宋体" w:eastAsia="宋体" w:cs="宋体"/>
      <w:sz w:val="20"/>
      <w:szCs w:val="20"/>
      <w:u w:val="none"/>
      <w:shd w:val="clear" w:color="auto" w:fill="auto"/>
      <w:lang w:val="zh-TW" w:eastAsia="zh-TW" w:bidi="zh-TW"/>
    </w:rPr>
  </w:style>
  <w:style w:type="character" w:customStyle="1" w:styleId="65">
    <w:name w:val="标题 3 Char"/>
    <w:link w:val="5"/>
    <w:qFormat/>
    <w:uiPriority w:val="0"/>
    <w:rPr>
      <w:b/>
    </w:rPr>
  </w:style>
  <w:style w:type="paragraph" w:customStyle="1" w:styleId="66">
    <w:name w:val="样式 首行缩进:  2 字符"/>
    <w:basedOn w:val="1"/>
    <w:qFormat/>
    <w:uiPriority w:val="0"/>
    <w:pPr>
      <w:spacing w:line="360" w:lineRule="auto"/>
      <w:ind w:firstLine="560" w:firstLineChars="200"/>
    </w:pPr>
    <w:rPr>
      <w:rFonts w:cs="宋体"/>
      <w:sz w:val="24"/>
      <w:szCs w:val="20"/>
    </w:rPr>
  </w:style>
  <w:style w:type="character" w:customStyle="1" w:styleId="67">
    <w:name w:val="样式 标题 4 + 小四 黑色 Char"/>
    <w:link w:val="68"/>
    <w:qFormat/>
    <w:uiPriority w:val="0"/>
    <w:rPr>
      <w:rFonts w:eastAsia="宋体"/>
      <w:color w:val="000000"/>
      <w:sz w:val="24"/>
    </w:rPr>
  </w:style>
  <w:style w:type="paragraph" w:customStyle="1" w:styleId="68">
    <w:name w:val="样式 标题 4 + 小四 黑色"/>
    <w:basedOn w:val="6"/>
    <w:link w:val="67"/>
    <w:qFormat/>
    <w:uiPriority w:val="0"/>
    <w:rPr>
      <w:rFonts w:eastAsia="宋体"/>
      <w:color w:val="000000"/>
      <w:sz w:val="24"/>
    </w:rPr>
  </w:style>
  <w:style w:type="paragraph" w:customStyle="1" w:styleId="69">
    <w:name w:val="样式1"/>
    <w:basedOn w:val="1"/>
    <w:qFormat/>
    <w:uiPriority w:val="0"/>
    <w:pPr>
      <w:snapToGrid w:val="0"/>
      <w:spacing w:line="360" w:lineRule="auto"/>
      <w:ind w:firstLine="540"/>
    </w:pPr>
    <w:rPr>
      <w:position w:val="0"/>
    </w:rPr>
  </w:style>
  <w:style w:type="paragraph" w:styleId="70">
    <w:name w:val="No Spacing"/>
    <w:qFormat/>
    <w:uiPriority w:val="1"/>
    <w:rPr>
      <w:rFonts w:ascii="Times New Roman" w:hAnsi="Times New Roman" w:eastAsia="宋体" w:cs="Times New Roman"/>
      <w:sz w:val="24"/>
      <w:lang w:val="en-US" w:eastAsia="zh-CN" w:bidi="ar-SA"/>
    </w:rPr>
  </w:style>
  <w:style w:type="paragraph" w:customStyle="1" w:styleId="71">
    <w:name w:val="HCH封面4"/>
    <w:qFormat/>
    <w:uiPriority w:val="0"/>
    <w:pPr>
      <w:widowControl w:val="0"/>
      <w:spacing w:line="360" w:lineRule="auto"/>
      <w:jc w:val="center"/>
    </w:pPr>
    <w:rPr>
      <w:rFonts w:ascii="Times New Roman" w:hAnsi="Times New Roman" w:eastAsia="黑体" w:cs="Times New Roman"/>
      <w:kern w:val="2"/>
      <w:sz w:val="44"/>
      <w:szCs w:val="36"/>
      <w:lang w:val="en-US" w:eastAsia="zh-CN" w:bidi="ar-SA"/>
    </w:rPr>
  </w:style>
  <w:style w:type="paragraph" w:customStyle="1" w:styleId="72">
    <w:name w:val="HCH标题3"/>
    <w:qFormat/>
    <w:uiPriority w:val="0"/>
    <w:pPr>
      <w:numPr>
        <w:ilvl w:val="2"/>
        <w:numId w:val="1"/>
      </w:numPr>
      <w:spacing w:line="500" w:lineRule="exact"/>
      <w:outlineLvl w:val="2"/>
    </w:pPr>
    <w:rPr>
      <w:rFonts w:ascii="Times New Roman" w:hAnsi="Times New Roman" w:eastAsia="黑体" w:cs="Times New Roman"/>
      <w:bCs/>
      <w:kern w:val="2"/>
      <w:sz w:val="24"/>
      <w:szCs w:val="24"/>
      <w:lang w:val="en-US" w:eastAsia="zh-CN" w:bidi="ar-SA"/>
    </w:rPr>
  </w:style>
  <w:style w:type="paragraph" w:customStyle="1" w:styleId="73">
    <w:name w:val="表名"/>
    <w:basedOn w:val="1"/>
    <w:next w:val="1"/>
    <w:qFormat/>
    <w:uiPriority w:val="0"/>
    <w:pPr>
      <w:keepNext/>
      <w:jc w:val="left"/>
    </w:pPr>
    <w:rPr>
      <w:rFonts w:cs="Times New Roman"/>
      <w:b/>
    </w:rPr>
  </w:style>
  <w:style w:type="paragraph" w:customStyle="1" w:styleId="74">
    <w:name w:val="表-表图及公式"/>
    <w:basedOn w:val="1"/>
    <w:qFormat/>
    <w:uiPriority w:val="0"/>
    <w:pPr>
      <w:widowControl/>
      <w:jc w:val="center"/>
    </w:pPr>
    <w:rPr>
      <w:rFonts w:ascii="Times New Roman" w:hAnsi="Times New Roman"/>
      <w:sz w:val="21"/>
      <w:szCs w:val="21"/>
    </w:rPr>
  </w:style>
  <w:style w:type="table" w:customStyle="1" w:styleId="7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88</Pages>
  <Words>44819</Words>
  <Characters>52398</Characters>
  <Lines>0</Lines>
  <Paragraphs>0</Paragraphs>
  <TotalTime>2</TotalTime>
  <ScaleCrop>false</ScaleCrop>
  <LinksUpToDate>false</LinksUpToDate>
  <CharactersWithSpaces>53396</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2022-05-01T01:19:00Z</dcterms:created>
  <dc:creator>zbh</dc:creator>
  <cp:lastModifiedBy>bhzhao</cp:lastModifiedBy>
  <dcterms:modified xsi:type="dcterms:W3CDTF">2023-04-03T10:12:46Z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CC52F1EC407D40C1B43EC45A5D4999F7</vt:lpwstr>
  </property>
</Properties>
</file>